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Strategie, Bewertung und Vergleichskorridor</w:t>
      </w:r>
    </w:p>
    <w:p>
      <w:pPr>
        <w:pStyle w:val="Heading2"/>
      </w:pPr>
      <w:r>
        <w:rPr>
          <w:rFonts w:ascii="Times New Roman" w:hAnsi="Times New Roman"/>
        </w:rPr>
        <w:t>1 Zusammenfassung der Ausgangslage</w:t>
      </w:r>
    </w:p>
    <w:p>
      <w:pPr>
        <w:jc w:val="left"/>
      </w:pPr>
      <w:r>
        <w:t>Der Mandant zahlt aufgrund des Vergleichs vor dem Amtsgericht Münster vom 09.03.2021 einen unbefristeten nachehelichen Unterhalt von 1.350,00 EUR monatlich. Sein durchschnittliches Nettoeinkommen liegt bei rund 6.840,00 EUR; nach Bereinigung um die ergänzende Altersvorsorge, die private Krankenversicherung und einen etwaigen Volljährigenunterhalt für Lina wird das bereinigte Nettoeinkommen vorläufig mit rund 4.700,00 EUR angesetzt (Arbeitswert, Spanne 4.600,00 EUR bis 4.900,00 EUR laut Stück 3). Das bereinigte Nettoeinkommen der Berechtigten liegt bei rund 1.620,00 EUR (Arbeitswert) aus einer Dreißig-Stunden-Tätigkeit. Die Kinder sind volljährig und betreuungsunabhängig.</w:t>
      </w:r>
    </w:p>
    <w:p>
      <w:pPr>
        <w:pStyle w:val="Heading2"/>
      </w:pPr>
      <w:r>
        <w:rPr>
          <w:rFonts w:ascii="Times New Roman" w:hAnsi="Times New Roman"/>
        </w:rPr>
        <w:t>2 Bewertung der Herabsetzung und Befristung (Paragraf 1578b BGB)</w:t>
      </w:r>
    </w:p>
    <w:p>
      <w:pPr>
        <w:jc w:val="left"/>
      </w:pPr>
      <w:r>
        <w:t>2.1 Maßgeblich ist, ob ehebedingte Nachteile fortwirken. Für solche Nachteile sprechen der mehrfache ehebedingte Wohnortwechsel und die einmal ausgeschlagene Beförderung; gegen ein dauerhaftes Fortwirken spricht, dass die Berechtigte seit 2022 wieder im erlernten Beruf arbeitet und ihre Stundenzahl bereits erhöht hat.</w:t>
      </w:r>
    </w:p>
    <w:p>
      <w:pPr>
        <w:jc w:val="left"/>
      </w:pPr>
      <w:r>
        <w:t>2.2 Soweit ehebedingte Nachteile nur noch in begrenztem Umfang fortwirken, ist eine Herabsetzung auf den angemessenen Lebensbedarf naheliegend, gefolgt von einer Befristung mit angemessenem Übergangszeitraum. Die genaue Höhe und Dauer hängen von der noch einzuholenden förmlichen Auskunft nach Paragraf 1605 BGB und von der Aufklärung der Erwerbsbiografie ab.</w:t>
      </w:r>
    </w:p>
    <w:p>
      <w:pPr>
        <w:pStyle w:val="Heading2"/>
      </w:pPr>
      <w:r>
        <w:rPr>
          <w:rFonts w:ascii="Times New Roman" w:hAnsi="Times New Roman"/>
        </w:rPr>
        <w:t>3 Bewertung der Verwirkung (Paragraf 1579 Nr. 2 BGB)</w:t>
      </w:r>
    </w:p>
    <w:p>
      <w:pPr>
        <w:jc w:val="left"/>
      </w:pPr>
      <w:r>
        <w:t>Eine verfestigte neue Lebensgemeinschaft der Berechtigten kann zu einer Herabsetzung, Befristung oder Versagung führen. Erforderlich ist eine nach außen erkennbare, auf Dauer angelegte Verbindung; ein Richtwert von etwa zwei bis drei Jahren ist vor Verwendung an aktueller Rechtsprechung zu verifizieren. Das tatsächliche Zusammenleben und gemeinsame Wirtschaften mit dem neuen Partner ist im Wege des Vortrags und gegebenenfalls des Beweises aufzuklären.</w:t>
      </w:r>
    </w:p>
    <w:p>
      <w:pPr>
        <w:pStyle w:val="Heading2"/>
      </w:pPr>
      <w:r>
        <w:rPr>
          <w:rFonts w:ascii="Times New Roman" w:hAnsi="Times New Roman"/>
        </w:rPr>
        <w:t>4 Vergleichskorridor</w:t>
      </w:r>
    </w:p>
    <w:p>
      <w:pPr>
        <w:jc w:val="left"/>
      </w:pPr>
      <w:r>
        <w:t>4.1 Best Case für den Mandanten: stufenweise Herabsetzung und Befristung des Unterhalts mit einem überschaubaren Auslaufzeitraum.</w:t>
      </w:r>
    </w:p>
    <w:p>
      <w:pPr>
        <w:jc w:val="left"/>
      </w:pPr>
      <w:r>
        <w:t>4.2 Mittlerer Korridor: Herabsetzung auf einen Betrag im mittleren dreistelligen Bereich mit anschließender Befristung; Größenordnung erst nach Auskunft belastbar zu beziffern.</w:t>
      </w:r>
    </w:p>
    <w:p>
      <w:pPr>
        <w:jc w:val="left"/>
      </w:pPr>
      <w:r>
        <w:t>4.3 Worst Case: weitgehende Fortschreibung des bisherigen Unterhalts, falls erhebliche ehebedingte Nachteile festgestellt werden und die neue Lebensgemeinschaft nicht hinreichend verfestigt ist.</w:t>
      </w:r>
    </w:p>
    <w:p>
      <w:pPr>
        <w:pStyle w:val="Heading2"/>
      </w:pPr>
      <w:r>
        <w:rPr>
          <w:rFonts w:ascii="Times New Roman" w:hAnsi="Times New Roman"/>
        </w:rPr>
        <w:t>5 Empfohlenes Vorgehen</w:t>
      </w:r>
    </w:p>
    <w:p>
      <w:pPr>
        <w:jc w:val="left"/>
      </w:pPr>
      <w:r>
        <w:t>5.1 Förmliche Auskunft nach Paragraf 1605 BGB von der Berechtigten einholen und die eigene Auskunft vorbereiten.</w:t>
      </w:r>
    </w:p>
    <w:p>
      <w:pPr>
        <w:jc w:val="left"/>
      </w:pPr>
      <w:r>
        <w:t>5.2 Vergleichsprotokoll vom 09.03.2021 im Wortlaut beschaffen und auf eine etwaige Befristungsregelung prüfen.</w:t>
      </w:r>
    </w:p>
    <w:p>
      <w:pPr>
        <w:jc w:val="left"/>
      </w:pPr>
      <w:r>
        <w:t>5.3 Ehebedingte Nachteile und neue Lebensgemeinschaft mit konkreten Tatsachen unterlegen.</w:t>
      </w:r>
    </w:p>
    <w:p>
      <w:pPr>
        <w:jc w:val="left"/>
      </w:pPr>
      <w:r>
        <w:t>5.4 Abänderungsantrag nach Paragraf 239 FamFG mit den Anträgen auf Herabsetzung und Befristung nach Paragraf 1578b BGB vorbereiten; Verwirkung nach Paragraf 1579 Nr. 2 BGB hilfsweise.</w:t>
      </w:r>
    </w:p>
    <w:p>
      <w:pPr>
        <w:pStyle w:val="Heading2"/>
      </w:pPr>
      <w:r>
        <w:rPr>
          <w:rFonts w:ascii="Times New Roman" w:hAnsi="Times New Roman"/>
        </w:rPr>
        <w:t>6 Antragsentwurf (Eckpunkte)</w:t>
      </w:r>
    </w:p>
    <w:p>
      <w:pPr>
        <w:jc w:val="left"/>
      </w:pPr>
      <w:r>
        <w:t>Namens und in Vollmacht des Antragstellers wird beantragt, den am 09.03.2021 vor dem Amtsgericht Münster protokollierten Vergleich dahin abzuändern, dass der nachehelliche Unterhalt ab Rechtshängigkeit herabgesetzt und zeitlich befristet wird. Die genaue Bezifferung von Höhe und Endzeitpunkt bleibt der Antragsbegründung nach Auswertung der Auskunft vorbehalten.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