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80"/>
      </w:pPr>
      <w:r>
        <w:rPr>
          <w:rFonts w:ascii="Arial" w:hAnsi="Arial" w:eastAsia="Arial"/>
          <w:b/>
          <w:color w:val="5C6569"/>
          <w:sz w:val="16"/>
        </w:rPr>
        <w:t>INTERNE ENTSCHEIDUNGSVORLAGE</w:t>
      </w:r>
    </w:p>
    <w:tbl>
      <w:tblPr>
        <w:tblW w:type="auto" w:w="0"/>
        <w:jc w:val="right"/>
        <w:tblLayout w:type="fixed"/>
        <w:tblLook w:firstColumn="1" w:firstRow="1" w:lastColumn="0" w:lastRow="0" w:noHBand="0" w:noVBand="1" w:val="04A0"/>
      </w:tblPr>
      <w:tblGrid>
        <w:gridCol w:w="4720"/>
        <w:gridCol w:w="4720"/>
      </w:tblGrid>
      <w:tr>
        <w:tc>
          <w:tcPr>
            <w:tcW w:type="dxa" w:w="1757"/>
          </w:tcPr>
          <w:p>
            <w:r>
              <w:rPr>
                <w:rFonts w:ascii="Arial" w:hAnsi="Arial" w:eastAsia="Arial"/>
                <w:b/>
                <w:color w:val="5C6569"/>
                <w:sz w:val="16"/>
              </w:rPr>
              <w:t>Datum</w:t>
            </w:r>
          </w:p>
        </w:tc>
        <w:tc>
          <w:tcPr>
            <w:tcW w:type="dxa" w:w="2948"/>
          </w:tcPr>
          <w:p>
            <w:r>
              <w:rPr>
                <w:rFonts w:ascii="Arial" w:hAnsi="Arial" w:eastAsia="Arial"/>
                <w:b w:val="0"/>
                <w:sz w:val="16"/>
              </w:rPr>
              <w:t>6. Juli 2026</w:t>
            </w:r>
          </w:p>
        </w:tc>
      </w:tr>
      <w:tr>
        <w:tc>
          <w:tcPr>
            <w:tcW w:type="dxa" w:w="1757"/>
          </w:tcPr>
          <w:p>
            <w:r>
              <w:rPr>
                <w:rFonts w:ascii="Arial" w:hAnsi="Arial" w:eastAsia="Arial"/>
                <w:b/>
                <w:color w:val="5C6569"/>
                <w:sz w:val="16"/>
              </w:rPr>
              <w:t>Aktenzeichen</w:t>
            </w:r>
          </w:p>
        </w:tc>
        <w:tc>
          <w:tcPr>
            <w:tcW w:type="dxa" w:w="2948"/>
          </w:tcPr>
          <w:p>
            <w:r>
              <w:rPr>
                <w:rFonts w:ascii="Arial" w:hAnsi="Arial" w:eastAsia="Arial"/>
                <w:b w:val="0"/>
                <w:sz w:val="16"/>
              </w:rPr>
              <w:t>26-RB-164 / Vergleichskorridor</w:t>
            </w:r>
          </w:p>
        </w:tc>
      </w:tr>
      <w:tr>
        <w:tc>
          <w:tcPr>
            <w:tcW w:type="dxa" w:w="1757"/>
          </w:tcPr>
          <w:p>
            <w:r>
              <w:rPr>
                <w:rFonts w:ascii="Arial" w:hAnsi="Arial" w:eastAsia="Arial"/>
                <w:b/>
                <w:color w:val="5C6569"/>
                <w:sz w:val="16"/>
              </w:rPr>
              <w:t>Bearbeitung</w:t>
            </w:r>
          </w:p>
        </w:tc>
        <w:tc>
          <w:tcPr>
            <w:tcW w:type="dxa" w:w="2948"/>
          </w:tcPr>
          <w:p>
            <w:r>
              <w:rPr>
                <w:rFonts w:ascii="Arial" w:hAnsi="Arial" w:eastAsia="Arial"/>
                <w:b w:val="0"/>
                <w:sz w:val="16"/>
              </w:rPr>
              <w:t>Carolin Voß</w:t>
            </w:r>
          </w:p>
        </w:tc>
      </w:tr>
    </w:tbl>
    <w:p/>
    <w:p>
      <w:pPr>
        <w:pStyle w:val="Title"/>
      </w:pPr>
      <w:r>
        <w:rPr>
          <w:rFonts w:ascii="Arial" w:hAnsi="Arial" w:eastAsia="Arial"/>
          <w:b/>
          <w:color w:val="173941"/>
          <w:sz w:val="34"/>
        </w:rPr>
        <w:t>Getrennte Lösungsräume für Status, Betriebsrente und Erwerbsminderung</w:t>
      </w:r>
    </w:p>
    <w:p>
      <w:pPr>
        <w:pStyle w:val="Heading1"/>
      </w:pPr>
      <w:r>
        <w:t>1. Keine Paketlösung</w:t>
      </w:r>
    </w:p>
    <w:p>
      <w:pPr>
        <w:jc w:val="both"/>
      </w:pPr>
      <w:r>
        <w:rPr>
          <w:rFonts w:ascii="Arial" w:hAnsi="Arial" w:eastAsia="Arial"/>
          <w:b w:val="0"/>
          <w:sz w:val="21"/>
        </w:rPr>
        <w:t>Die drei Stränge betreffen verschiedene Anspruchsgegner, Tatsachen und Folgen. Ein Entgegenkommen im Statusverfahren darf weder als Aufgabe der Betriebsrentenforderung noch als Aussage zum medizinischen Leistungsvermögen formuliert werden. Vollmachten, Korrespondenz und Bezifferung bleiben getrennt.</w:t>
      </w:r>
    </w:p>
    <w:p>
      <w:pPr>
        <w:pStyle w:val="Heading1"/>
      </w:pPr>
      <w:r>
        <w:t>2. Statusverfahren</w:t>
      </w:r>
    </w:p>
    <w:p>
      <w:pPr>
        <w:jc w:val="both"/>
      </w:pPr>
      <w:r>
        <w:rPr>
          <w:rFonts w:ascii="Arial" w:hAnsi="Arial" w:eastAsia="Arial"/>
          <w:b w:val="0"/>
          <w:sz w:val="21"/>
        </w:rPr>
        <w:t>Vorstellbar ist eine zeitliche Differenzierung: eigenständige Tätigkeit mit mehreren Auftraggebern bis zur tatsächlichen Verdichtung der Harkort-Projekte und gesonderte Bewertung einzelner Monate danach. Voraussetzung sind App- oder Kalenderdaten, Umsatzanteile und tatsächliche Weisungslage. Nicht akzeptabel ist eine pauschale Einordnung aller Monate ohne Berechnung der Beitrags-, Steuer- und Erstattungsfolgen.</w:t>
      </w:r>
    </w:p>
    <w:p>
      <w:pPr>
        <w:pStyle w:val="Heading1"/>
      </w:pPr>
      <w:r>
        <w:t>3. Betriebsrente</w:t>
      </w:r>
    </w:p>
    <w:p>
      <w:pPr>
        <w:jc w:val="both"/>
      </w:pPr>
      <w:r>
        <w:rPr>
          <w:rFonts w:ascii="Arial" w:hAnsi="Arial" w:eastAsia="Arial"/>
          <w:b w:val="0"/>
          <w:sz w:val="21"/>
        </w:rPr>
        <w:t>Primärziel ist die nach Unterlagen berechnete Anerkennung der Dienstzeit ab 1. Juli 1994. Ein pauschaler Monatszuschlag kann nur bewertet werden, wenn Rentenbeginn, Dynamik, Hinterbliebenenleistung und Unverfallbarkeit mitgerechnet sind. Eine Abgeltungserklärung darf unbekannte Ansprüche aus der Fricke-Zusage nicht erfassen.</w:t>
      </w:r>
    </w:p>
    <w:p>
      <w:pPr>
        <w:pStyle w:val="Heading1"/>
      </w:pPr>
      <w:r>
        <w:t>4. Erwerbsminderung</w:t>
      </w:r>
    </w:p>
    <w:p>
      <w:pPr>
        <w:jc w:val="both"/>
      </w:pPr>
      <w:r>
        <w:rPr>
          <w:rFonts w:ascii="Arial" w:hAnsi="Arial" w:eastAsia="Arial"/>
          <w:b w:val="0"/>
          <w:sz w:val="21"/>
        </w:rPr>
        <w:t>Eine zeitlich befristete volle oder teilweise Leistung kann erst nach belastbarer Funktionsbewertung eingeordnet werden. Die wirtschaftliche Not rechtfertigt keine vorschnelle Festlegung auf ein medizinisches Restleistungsvermögen. Reha-, Krankengeld- und Rentenverfahren werden in einer gesonderten Fristenachse geführt.</w:t>
      </w:r>
    </w:p>
    <w:p>
      <w:pPr>
        <w:pStyle w:val="Heading1"/>
      </w:pPr>
      <w:r>
        <w:t>5. Entscheidungsunterlagen</w:t>
      </w:r>
    </w:p>
    <w:p>
      <w:pPr>
        <w:jc w:val="both"/>
      </w:pPr>
      <w:r>
        <w:rPr>
          <w:rFonts w:ascii="Arial" w:hAnsi="Arial" w:eastAsia="Arial"/>
          <w:b w:val="0"/>
          <w:sz w:val="21"/>
        </w:rPr>
        <w:t>Vor jedem Vorschlag liegen eine Nettofolgenrechnung des Steuerberaters, die DRV-Berechnung, die Versorgungskassenberechnung und die medizinische Belegmatrix vor. Jeder Vorschlag wird mit Bezugszeitraum, Rechtsfolgen, offenen Punkten und Rücktritts- oder Widerrufsmöglichkeiten schriftlich dokumentiert.</w:t>
      </w:r>
    </w:p>
    <w:p>
      <w:pPr>
        <w:spacing w:before="280"/>
      </w:pPr>
      <w:r>
        <w:rPr>
          <w:rFonts w:ascii="Arial" w:hAnsi="Arial" w:eastAsia="Arial"/>
          <w:b/>
          <w:sz w:val="21"/>
        </w:rPr>
        <w:t>Carolin Voß</w:t>
      </w:r>
    </w:p>
    <w:p>
      <w:pPr>
        <w:spacing w:after="0"/>
      </w:pPr>
      <w:r>
        <w:rPr>
          <w:rFonts w:ascii="Arial" w:hAnsi="Arial" w:eastAsia="Arial"/>
          <w:b w:val="0"/>
          <w:color w:val="5C6569"/>
          <w:sz w:val="18"/>
        </w:rPr>
        <w:t>Rentenberaterin</w:t>
      </w:r>
    </w:p>
    <w:sectPr w:rsidR="00FC693F" w:rsidRPr="0006063C" w:rsidSect="00034616">
      <w:headerReference w:type="default" r:id="rId9"/>
      <w:footerReference w:type="default" r:id="rId10"/>
      <w:pgSz w:w="11906" w:h="16838"/>
      <w:pgMar w:top="1247" w:right="1134" w:bottom="1134" w:left="1332"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jc w:val="center"/>
      <w:tblLayout w:type="fixed"/>
      <w:tblLook w:firstColumn="1" w:firstRow="1" w:lastColumn="0" w:lastRow="0" w:noHBand="0" w:noVBand="1" w:val="04A0"/>
    </w:tblPr>
    <w:tblGrid>
      <w:gridCol w:w="7257"/>
      <w:gridCol w:w="2154"/>
    </w:tblGrid>
    <w:tr>
      <w:tc>
        <w:tcPr>
          <w:tcW w:type="dxa" w:w="7257"/>
        </w:tcPr>
        <w:p>
          <w:r>
            <w:rPr>
              <w:rFonts w:ascii="Arial" w:hAnsi="Arial" w:eastAsia="Arial"/>
              <w:b w:val="0"/>
              <w:color w:val="5C6569"/>
              <w:sz w:val="14"/>
            </w:rPr>
            <w:t>Vertraulicher Arbeitsvermerk · Mandat 26-RB-164</w:t>
          </w:r>
        </w:p>
      </w:tc>
      <w:tc>
        <w:tcPr>
          <w:tcW w:type="dxa" w:w="2154"/>
        </w:tcPr>
        <w:p>
          <w:pPr>
            <w:jc w:val="right"/>
          </w:pPr>
          <w:r>
            <w:rPr>
              <w:rFonts w:ascii="Arial" w:hAnsi="Arial" w:eastAsia="Arial"/>
              <w:b w:val="0"/>
              <w:color w:val="5C6569"/>
              <w:sz w:val="14"/>
            </w:rPr>
            <w:t xml:space="preserve">Seite </w:t>
          </w:r>
          <w:r>
            <w:rPr>
              <w:rFonts w:ascii="Arial" w:hAnsi="Arial" w:eastAsia="Arial"/>
              <w:b w:val="0"/>
              <w:color w:val="5C6569"/>
              <w:sz w:val="14"/>
            </w:rPr>
            <w:fldChar w:fldCharType="begin"/>
            <w:instrText xml:space="preserve">PAGE</w:instrText>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20"/>
    </w:pPr>
    <w:r>
      <w:rPr>
        <w:rFonts w:ascii="Arial" w:hAnsi="Arial" w:eastAsia="Arial"/>
        <w:b/>
        <w:color w:val="173941"/>
        <w:sz w:val="19"/>
      </w:rPr>
      <w:t>Rentenberatung Carolin Voß</w:t>
    </w:r>
  </w:p>
  <w:p>
    <w:pPr>
      <w:spacing w:after="0"/>
    </w:pPr>
    <w:r>
      <w:rPr>
        <w:rFonts w:ascii="Arial" w:hAnsi="Arial" w:eastAsia="Arial"/>
        <w:b w:val="0"/>
        <w:color w:val="5C6569"/>
        <w:sz w:val="14"/>
      </w:rPr>
      <w:t>Hohe Straße 11 · 44139 Dortmund</w:t>
    </w:r>
  </w:p>
  <w:p>
    <w:pPr>
      <w:spacing w:after="0"/>
    </w:pPr>
    <w:r>
      <w:rPr>
        <w:rFonts w:ascii="Arial" w:hAnsi="Arial" w:eastAsia="Arial"/>
        <w:b w:val="0"/>
        <w:color w:val="5C6569"/>
        <w:sz w:val="14"/>
      </w:rPr>
      <w:t>Telefon 0231 44896-0 · Telefax 0231 44896-29 · kanzlei@rentenberatung-voss.example</w:t>
    </w:r>
  </w:p>
  <w:p>
    <w:pPr>
      <w:spacing w:after="0"/>
    </w:pPr>
    <w:r>
      <w:rPr>
        <w:rFonts w:ascii="Arial" w:hAnsi="Arial" w:eastAsia="Arial"/>
        <w:b w:val="0"/>
        <w:color w:val="5C6569"/>
        <w:sz w:val="14"/>
      </w:rPr>
      <w:t>Rentenberaterin Carolin Voß · Registriert im Rechtsdienstleistungsregister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widowControl/>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outlineLvl w:val="0"/>
    </w:pPr>
    <w:rPr>
      <w:rFonts w:asciiTheme="majorHAnsi" w:eastAsiaTheme="majorEastAsia" w:hAnsiTheme="majorHAnsi" w:cstheme="majorBidi" w:ascii="Arial" w:hAnsi="Arial"/>
      <w:b/>
      <w:bCs/>
      <w:color w:val="173941"/>
      <w:sz w:val="26"/>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Arial" w:hAnsi="Arial"/>
      <w:b/>
      <w:bCs/>
      <w:color w:val="173941"/>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20" w:line="240" w:lineRule="auto" w:before="0"/>
      <w:contextualSpacing/>
    </w:pPr>
    <w:rPr>
      <w:rFonts w:asciiTheme="majorHAnsi" w:eastAsiaTheme="majorEastAsia" w:hAnsiTheme="majorHAnsi" w:cstheme="majorBidi" w:ascii="Arial" w:hAnsi="Arial"/>
      <w:b/>
      <w:color w:val="173941"/>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Getrennte Lösungsräume für Status, Betriebsrente und Erwerbsminderung</dc:title>
  <dc:subject>26-RB-164 / Vergleichskorridor</dc:subject>
  <dc:creator>Klotzkette</dc:creator>
  <cp:keywords/>
  <dc:description>generated by python-docx</dc:description>
  <cp:lastModifiedBy/>
  <cp:revision>1</cp:revision>
  <dcterms:created xsi:type="dcterms:W3CDTF">2013-12-23T23:15:00Z</dcterms:created>
  <dcterms:modified xsi:type="dcterms:W3CDTF">2013-12-23T23:15:00Z</dcterms:modified>
  <cp:category/>
</cp:coreProperties>
</file>