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
      </w:pPr>
      <w:r>
        <w:rPr>
          <w:rFonts w:ascii="Arial" w:hAnsi="Arial" w:eastAsia="Arial"/>
          <w:b/>
          <w:color w:val="5C6569"/>
          <w:sz w:val="16"/>
        </w:rPr>
        <w:t>PERSÖNLICHE ERKLÄRUNG</w:t>
      </w:r>
    </w:p>
    <w:p>
      <w:pPr>
        <w:spacing w:after="100"/>
      </w:pPr>
      <w:r>
        <w:rPr>
          <w:rFonts w:ascii="Arial" w:hAnsi="Arial" w:eastAsia="Arial"/>
          <w:b w:val="0"/>
          <w:color w:val="5C6569"/>
          <w:sz w:val="14"/>
        </w:rPr>
        <w:t>Privater Bericht von Tobias Renneberg · Aachener Straße 418 · 50933 Köln</w:t>
      </w:r>
    </w:p>
    <w:p>
      <w:pPr>
        <w:spacing w:after="0"/>
      </w:pPr>
      <w:r>
        <w:rPr>
          <w:rFonts w:ascii="Arial" w:hAnsi="Arial" w:eastAsia="Arial"/>
          <w:b w:val="0"/>
          <w:sz w:val="18"/>
        </w:rPr>
        <w:t>An die Deutsche Rentenversicherung Bund</w:t>
      </w:r>
    </w:p>
    <w:p>
      <w:pPr>
        <w:spacing w:after="0"/>
      </w:pPr>
      <w:r>
        <w:rPr>
          <w:rFonts w:ascii="Arial" w:hAnsi="Arial" w:eastAsia="Arial"/>
          <w:b w:val="0"/>
          <w:sz w:val="18"/>
        </w:rPr>
        <w:t>über Rentenberatung Frings</w:t>
      </w:r>
    </w:p>
    <w:p/>
    <w:tbl>
      <w:tblPr>
        <w:tblW w:type="auto" w:w="0"/>
        <w:jc w:val="right"/>
        <w:tblLayout w:type="fixed"/>
        <w:tblLook w:firstColumn="1" w:firstRow="1" w:lastColumn="0" w:lastRow="0" w:noHBand="0" w:noVBand="1" w:val="04A0"/>
      </w:tblPr>
      <w:tblGrid>
        <w:gridCol w:w="4720"/>
        <w:gridCol w:w="4720"/>
      </w:tblGrid>
      <w:tr>
        <w:tc>
          <w:tcPr>
            <w:tcW w:type="dxa" w:w="1757"/>
          </w:tcPr>
          <w:p>
            <w:r>
              <w:rPr>
                <w:rFonts w:ascii="Arial" w:hAnsi="Arial" w:eastAsia="Arial"/>
                <w:b/>
                <w:color w:val="5C6569"/>
                <w:sz w:val="16"/>
              </w:rPr>
              <w:t>Datum</w:t>
            </w:r>
          </w:p>
        </w:tc>
        <w:tc>
          <w:tcPr>
            <w:tcW w:type="dxa" w:w="2948"/>
          </w:tcPr>
          <w:p>
            <w:r>
              <w:rPr>
                <w:rFonts w:ascii="Arial" w:hAnsi="Arial" w:eastAsia="Arial"/>
                <w:b w:val="0"/>
                <w:sz w:val="16"/>
              </w:rPr>
              <w:t>30. Juni 2026</w:t>
            </w:r>
          </w:p>
        </w:tc>
      </w:tr>
      <w:tr>
        <w:tc>
          <w:tcPr>
            <w:tcW w:type="dxa" w:w="1757"/>
          </w:tcPr>
          <w:p>
            <w:r>
              <w:rPr>
                <w:rFonts w:ascii="Arial" w:hAnsi="Arial" w:eastAsia="Arial"/>
                <w:b/>
                <w:color w:val="5C6569"/>
                <w:sz w:val="16"/>
              </w:rPr>
              <w:t>Aktenzeichen</w:t>
            </w:r>
          </w:p>
        </w:tc>
        <w:tc>
          <w:tcPr>
            <w:tcW w:type="dxa" w:w="2948"/>
          </w:tcPr>
          <w:p>
            <w:r>
              <w:rPr>
                <w:rFonts w:ascii="Arial" w:hAnsi="Arial" w:eastAsia="Arial"/>
                <w:b w:val="0"/>
                <w:sz w:val="16"/>
              </w:rPr>
              <w:t>VSNR 53 170885 R 214</w:t>
            </w:r>
          </w:p>
        </w:tc>
      </w:tr>
      <w:tr>
        <w:tc>
          <w:tcPr>
            <w:tcW w:type="dxa" w:w="1757"/>
          </w:tcPr>
          <w:p>
            <w:r>
              <w:rPr>
                <w:rFonts w:ascii="Arial" w:hAnsi="Arial" w:eastAsia="Arial"/>
                <w:b/>
                <w:color w:val="5C6569"/>
                <w:sz w:val="16"/>
              </w:rPr>
              <w:t>Bearbeitung</w:t>
            </w:r>
          </w:p>
        </w:tc>
        <w:tc>
          <w:tcPr>
            <w:tcW w:type="dxa" w:w="2948"/>
          </w:tcPr>
          <w:p>
            <w:r>
              <w:rPr>
                <w:rFonts w:ascii="Arial" w:hAnsi="Arial" w:eastAsia="Arial"/>
                <w:b w:val="0"/>
                <w:sz w:val="16"/>
              </w:rPr>
              <w:t>Tobias Renneberg</w:t>
            </w:r>
          </w:p>
        </w:tc>
      </w:tr>
    </w:tbl>
    <w:p/>
    <w:p>
      <w:pPr>
        <w:pStyle w:val="Title"/>
      </w:pPr>
      <w:r>
        <w:rPr>
          <w:rFonts w:ascii="Arial" w:hAnsi="Arial" w:eastAsia="Arial"/>
          <w:b/>
          <w:color w:val="173941"/>
          <w:sz w:val="34"/>
        </w:rPr>
        <w:t>Beobachtungen zur Belastbarkeit meiner Ehefrau Saskia Renneberg</w:t>
      </w:r>
    </w:p>
    <w:p>
      <w:pPr>
        <w:jc w:val="both"/>
      </w:pPr>
      <w:r>
        <w:rPr>
          <w:rFonts w:ascii="Arial" w:hAnsi="Arial" w:eastAsia="Arial"/>
          <w:b w:val="0"/>
          <w:sz w:val="21"/>
        </w:rPr>
        <w:t>Sehr geehrte Damen und Herren,</w:t>
      </w:r>
    </w:p>
    <w:p>
      <w:pPr>
        <w:pStyle w:val="Heading1"/>
      </w:pPr>
      <w:r>
        <w:t>1. Haushalt</w:t>
      </w:r>
    </w:p>
    <w:p>
      <w:pPr>
        <w:jc w:val="both"/>
      </w:pPr>
      <w:r>
        <w:rPr>
          <w:rFonts w:ascii="Arial" w:hAnsi="Arial" w:eastAsia="Arial"/>
          <w:b w:val="0"/>
          <w:sz w:val="21"/>
        </w:rPr>
        <w:t>Meine Frau kann morgens an guten Tagen selbst duschen und sich anziehen. Danach legt sie sich häufig für 30 bis 60 Minuten hin. Kochen gelingt, wenn Zutaten vorbereitet sind und sie sitzen kann. Einkäufe, Wäschekörbe, Staubsaugen und längere Wege übernehme ich. Unsere Tochter Nele bringt an schlechten Tagen Getränke ins Schlafzimmer.</w:t>
      </w:r>
    </w:p>
    <w:p>
      <w:pPr>
        <w:pStyle w:val="Heading1"/>
      </w:pPr>
      <w:r>
        <w:t>2. Konkrete Tage im Juni</w:t>
      </w:r>
    </w:p>
    <w:p>
      <w:pPr>
        <w:jc w:val="both"/>
      </w:pPr>
      <w:r>
        <w:rPr>
          <w:rFonts w:ascii="Arial" w:hAnsi="Arial" w:eastAsia="Arial"/>
          <w:b w:val="0"/>
          <w:sz w:val="21"/>
        </w:rPr>
        <w:t>Am 3. Juni fuhren wir zur kardiologischen Praxis. Der gesamte Weg einschließlich Warten dauerte 78 Minuten. Saskia lag danach bis 16:20 Uhr im abgedunkelten Zimmer und sagte den Elternabend am nächsten Tag ab. Am 10. Juni brachte ich sie zur Untersuchung der Rentenversicherung. Sie konnte das Gespräch führen, schlief auf der Rückfahrt ein und blieb am Folgetag überwiegend im Bett.</w:t>
      </w:r>
    </w:p>
    <w:p>
      <w:pPr>
        <w:jc w:val="both"/>
      </w:pPr>
      <w:r>
        <w:rPr>
          <w:rFonts w:ascii="Arial" w:hAnsi="Arial" w:eastAsia="Arial"/>
          <w:b w:val="0"/>
          <w:sz w:val="21"/>
        </w:rPr>
        <w:t>Am 19. Juni ging sie 25 Minuten mit mir in den Supermarkt. Der Puls stieg laut Uhr auf 129. Sie setzte sich zweimal auf eine Getränkekiste und ruhte zu Hause etwa sechs Stunden. Am 24. Juni beantwortete sie vormittags E-Mails für insgesamt 52 Minuten in drei Blöcken; danach verwechselte sie beim Kochen Salz und Zucker und brach ab.</w:t>
      </w:r>
    </w:p>
    <w:p>
      <w:pPr>
        <w:pStyle w:val="Heading1"/>
      </w:pPr>
      <w:r>
        <w:t>3. Schwankungen</w:t>
      </w:r>
    </w:p>
    <w:p>
      <w:pPr>
        <w:jc w:val="both"/>
      </w:pPr>
      <w:r>
        <w:rPr>
          <w:rFonts w:ascii="Arial" w:hAnsi="Arial" w:eastAsia="Arial"/>
          <w:b w:val="0"/>
          <w:sz w:val="21"/>
        </w:rPr>
        <w:t>Es gibt einzelne Stunden, in denen Saskia normal wirkt, lacht und konzentriert spricht. Diese Stunden lassen sich nicht planen. Wird an einem guten Tag zu viel erledigt, folgt häufig ein deutlich schlechterer Tag. Wir notieren seit Mai Uhrzeiten und Belastungen, weil kurze Termine nach außen einen falschen Eindruck vermitteln können.</w:t>
      </w:r>
    </w:p>
    <w:p>
      <w:pPr>
        <w:pStyle w:val="Heading1"/>
      </w:pPr>
      <w:r>
        <w:t>4. Bestätigung</w:t>
      </w:r>
    </w:p>
    <w:p>
      <w:pPr>
        <w:jc w:val="both"/>
      </w:pPr>
      <w:r>
        <w:rPr>
          <w:rFonts w:ascii="Arial" w:hAnsi="Arial" w:eastAsia="Arial"/>
          <w:b w:val="0"/>
          <w:sz w:val="21"/>
        </w:rPr>
        <w:t>Ich habe den Bericht nach bestem Wissen selbst verfasst. Die erwähnten Pulsdaten stammen aus der Uhr meiner Frau; die zugrunde liegenden Bildschirmfotos liegen der Familie vor. Mir ist bewusst, dass ich als Ehemann nicht neutral bin. Die geschilderten Abläufe lassen sich teilweise durch Arzttermine, Kalender und Nachrichten an den Arbeitgeber nachvollziehen.</w:t>
      </w:r>
    </w:p>
    <w:p>
      <w:pPr>
        <w:jc w:val="both"/>
      </w:pPr>
      <w:r>
        <w:rPr>
          <w:rFonts w:ascii="Arial" w:hAnsi="Arial" w:eastAsia="Arial"/>
          <w:b w:val="0"/>
          <w:sz w:val="21"/>
        </w:rPr>
        <w:t>Mit freundlichen Grüßen</w:t>
      </w:r>
    </w:p>
    <w:p>
      <w:pPr>
        <w:spacing w:before="280"/>
      </w:pPr>
      <w:r>
        <w:rPr>
          <w:rFonts w:ascii="Arial" w:hAnsi="Arial" w:eastAsia="Arial"/>
          <w:b/>
          <w:sz w:val="21"/>
        </w:rPr>
        <w:t>Tobias Renneberg</w:t>
      </w:r>
    </w:p>
    <w:p>
      <w:pPr>
        <w:spacing w:after="0"/>
      </w:pPr>
      <w:r>
        <w:rPr>
          <w:rFonts w:ascii="Arial" w:hAnsi="Arial" w:eastAsia="Arial"/>
          <w:b w:val="0"/>
          <w:color w:val="5C6569"/>
          <w:sz w:val="18"/>
        </w:rPr>
        <w:t>Ehemann der Versicherten</w:t>
      </w:r>
    </w:p>
    <w:sectPr w:rsidR="00FC693F" w:rsidRPr="0006063C" w:rsidSect="00034616">
      <w:headerReference w:type="default" r:id="rId9"/>
      <w:footerReference w:type="default" r:id="rId10"/>
      <w:pgSz w:w="11906" w:h="16838"/>
      <w:pgMar w:top="1247" w:right="1134" w:bottom="1134" w:left="133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Pr>
    <w:tblGrid>
      <w:gridCol w:w="7257"/>
      <w:gridCol w:w="2154"/>
    </w:tblGrid>
    <w:tr>
      <w:tc>
        <w:tcPr>
          <w:tcW w:type="dxa" w:w="7257"/>
        </w:tcPr>
        <w:p>
          <w:r>
            <w:rPr>
              <w:rFonts w:ascii="Arial" w:hAnsi="Arial" w:eastAsia="Arial"/>
              <w:b w:val="0"/>
              <w:color w:val="5C6569"/>
              <w:sz w:val="14"/>
            </w:rPr>
            <w:t>Alltagsprotokoll Juni 2026 · Anlage zum Rentenverfahren</w:t>
          </w:r>
        </w:p>
      </w:tc>
      <w:tc>
        <w:tcPr>
          <w:tcW w:type="dxa" w:w="2154"/>
        </w:tcPr>
        <w:p>
          <w:pPr>
            <w:jc w:val="right"/>
          </w:pPr>
          <w:r>
            <w:rPr>
              <w:rFonts w:ascii="Arial" w:hAnsi="Arial" w:eastAsia="Arial"/>
              <w:b w:val="0"/>
              <w:color w:val="5C6569"/>
              <w:sz w:val="14"/>
            </w:rPr>
            <w:t xml:space="preserve">Seite </w:t>
          </w:r>
          <w:r>
            <w:rPr>
              <w:rFonts w:ascii="Arial" w:hAnsi="Arial" w:eastAsia="Arial"/>
              <w:b w:val="0"/>
              <w:color w:val="5C6569"/>
              <w:sz w:val="14"/>
            </w:rPr>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20"/>
    </w:pPr>
    <w:r>
      <w:rPr>
        <w:rFonts w:ascii="Arial" w:hAnsi="Arial" w:eastAsia="Arial"/>
        <w:b/>
        <w:color w:val="173941"/>
        <w:sz w:val="19"/>
      </w:rPr>
      <w:t>Privater Bericht von Tobias Renneberg</w:t>
    </w:r>
  </w:p>
  <w:p>
    <w:pPr>
      <w:spacing w:after="0"/>
    </w:pPr>
    <w:r>
      <w:rPr>
        <w:rFonts w:ascii="Arial" w:hAnsi="Arial" w:eastAsia="Arial"/>
        <w:b w:val="0"/>
        <w:color w:val="5C6569"/>
        <w:sz w:val="14"/>
      </w:rPr>
      <w:t>Aachener Straße 418 · 50933 Köln</w:t>
    </w:r>
  </w:p>
  <w:p>
    <w:pPr>
      <w:spacing w:after="0"/>
    </w:pPr>
    <w:r>
      <w:rPr>
        <w:rFonts w:ascii="Arial" w:hAnsi="Arial" w:eastAsia="Arial"/>
        <w:b w:val="0"/>
        <w:color w:val="5C6569"/>
        <w:sz w:val="14"/>
      </w:rPr>
      <w:t>Telefon 0221 788419 · Bezug: Saskia Renneberg, geboren 17. August 1985</w:t>
    </w:r>
  </w:p>
  <w:p>
    <w:pPr>
      <w:spacing w:after="0"/>
    </w:pPr>
    <w:r>
      <w:rPr>
        <w:rFonts w:ascii="Arial" w:hAnsi="Arial" w:eastAsia="Arial"/>
        <w:b w:val="0"/>
        <w:color w:val="5C6569"/>
        <w:sz w:val="14"/>
      </w:rPr>
      <w:t>Erstellt aus täglichen Kalendernotizen und Pulsuhr-Aufzeichnungen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widowControl/>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173941"/>
      <w:sz w:val="2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17394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73941"/>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Beobachtungen zur Belastbarkeit meiner Ehefrau Saskia Renneberg</dc:title>
  <dc:subject>VSNR 53 170885 R 214</dc:subject>
  <dc:creator>Klotzkette</dc:creator>
  <cp:keywords/>
  <dc:description>generated by python-docx</dc:description>
  <cp:lastModifiedBy/>
  <cp:revision>1</cp:revision>
  <dcterms:created xsi:type="dcterms:W3CDTF">2013-12-23T23:15:00Z</dcterms:created>
  <dcterms:modified xsi:type="dcterms:W3CDTF">2013-12-23T23:15:00Z</dcterms:modified>
  <cp:category/>
</cp:coreProperties>
</file>