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Nadja Erhart</w:t>
            </w:r>
          </w:p>
        </w:tc>
      </w:tr>
      <w:tr>
        <w:tc>
          <w:tcPr>
            <w:tcW w:type="dxa" w:w="1984"/>
            <w:vAlign w:val="center"/>
          </w:tcPr>
          <w:p>
            <w:r>
              <w:rPr>
                <w:rFonts w:ascii="Arial" w:hAnsi="Arial"/>
                <w:b/>
                <w:sz w:val="17"/>
              </w:rPr>
              <w:t>Datum</w:t>
            </w:r>
          </w:p>
        </w:tc>
        <w:tc>
          <w:tcPr>
            <w:tcW w:type="dxa" w:w="3402"/>
            <w:vAlign w:val="center"/>
          </w:tcPr>
          <w:p>
            <w:r>
              <w:rPr>
                <w:rFonts w:ascii="Arial" w:hAnsi="Arial"/>
                <w:sz w:val="17"/>
              </w:rPr>
              <w:t>25. Juni 2026</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RB-26-188-EH</w:t>
            </w:r>
          </w:p>
        </w:tc>
      </w:tr>
    </w:tbl>
    <w:p/>
    <w:p>
      <w:pPr>
        <w:pStyle w:val="Title"/>
      </w:pPr>
      <w:r>
        <w:t>Belegvermerk zu Jahreskontoauszügen und Anbieter-E-Mail</w:t>
      </w:r>
    </w:p>
    <w:p>
      <w:r>
        <w:t>Die Jahreskontoauszüge 2023 und 2024 sowie die E-Mail vom 19. Dezember 2024 liegen nun getrennt im Originalformat vor. Der Anbieter bestätigt jeweils Buchungen, nicht die vollständige Berechnung des Mindesteigenbeitrags.</w:t>
      </w:r>
    </w:p>
    <w:p>
      <w:r>
        <w:t>Für jedes Beitragsjahr sind rentenversicherungspflichtiges Vorjahreseinkommen, Grund- und Kinderzulagen, tatsächlich geleisteter Eigenbeitrag und Kindergeldzuordnung gesondert abzugleichen. Die pauschale Empfehlung einer Sonderzahlung von 300,00 Euro enthält keine nachvollziehbare Berechnung.</w:t>
      </w:r>
    </w:p>
    <w:p>
      <w:r>
        <w:t>Offen sind die Gesprächsaufzeichnung des Callcenters vom 18. Dezember 2024, der bei SüdLeben gespeicherte Datensatz zur Kindergeldberechtigung und die elektronische Meldung an die Zentrale Zulagenstelle. Diese Unterlagen werden mit getrennten Fristen angefordert.</w:t>
      </w:r>
    </w:p>
    <w:p>
      <w:r>
        <w:t>Der Vermerk hält nur Quellen und Rechenschritte fest. Eine Zuordnung des Rückforderungsrisikos zwischen Zulagenstelle, Anbieter und Mandantin erfolgt erst nach Eingang der Datensätze.</w:t>
      </w:r>
    </w:p>
    <w:p/>
    <w:p>
      <w:r>
        <w:rPr>
          <w:rFonts w:ascii="Arial" w:hAnsi="Arial"/>
          <w:b/>
          <w:sz w:val="20"/>
        </w:rPr>
        <w:t>Miriam Hiller</w:t>
        <w:br/>
      </w:r>
      <w:r>
        <w:rPr>
          <w:rFonts w:ascii="Arial" w:hAnsi="Arial"/>
          <w:sz w:val="20"/>
        </w:rPr>
        <w:t>Rentenberaterin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03d_kanzleivermerk_anbieterauskunft_2024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Rentenberatung Hiller &amp; Braun</w:t>
    </w:r>
  </w:p>
  <w:p>
    <w:pPr>
      <w:spacing w:after="0"/>
      <w:pBdr>
        <w:bottom w:val="single" w:sz="8" w:space="3" w:color="4C2F38"/>
      </w:pBdr>
    </w:pPr>
    <w:r>
      <w:rPr>
        <w:rFonts w:ascii="Arial" w:hAnsi="Arial"/>
        <w:sz w:val="16"/>
      </w:rPr>
      <w:t>Bahnhofstraße 27, 86150 Augsburg | Telefon 0821 319 84-0 | Registrierungsnummer RDG 2021 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Belegvermerk zu Jahreskontoauszügen und Anbieter-E-Mail</dc:title>
  <dc:subject/>
  <dc:creator>Rentenberatung Hiller &amp; Braun</dc:creator>
  <cp:keywords/>
  <dc:description>generated by python-docx</dc:description>
  <cp:lastModifiedBy/>
  <cp:revision>1</cp:revision>
  <dcterms:created xsi:type="dcterms:W3CDTF">2013-12-23T23:15:00Z</dcterms:created>
  <dcterms:modified xsi:type="dcterms:W3CDTF">2013-12-23T23:15:00Z</dcterms:modified>
  <cp:category/>
</cp:coreProperties>
</file>