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Arbeitnehmerin</w:t>
            </w:r>
          </w:p>
        </w:tc>
        <w:tc>
          <w:tcPr>
            <w:tcW w:type="dxa" w:w="3402"/>
            <w:vAlign w:val="center"/>
          </w:tcPr>
          <w:p>
            <w:r>
              <w:rPr>
                <w:rFonts w:ascii="Arial" w:hAnsi="Arial"/>
                <w:sz w:val="17"/>
              </w:rPr>
              <w:t>Marlies Thormählen</w:t>
            </w:r>
          </w:p>
        </w:tc>
      </w:tr>
      <w:tr>
        <w:tc>
          <w:tcPr>
            <w:tcW w:type="dxa" w:w="1984"/>
            <w:vAlign w:val="center"/>
          </w:tcPr>
          <w:p>
            <w:r>
              <w:rPr>
                <w:rFonts w:ascii="Arial" w:hAnsi="Arial"/>
                <w:b/>
                <w:sz w:val="17"/>
              </w:rPr>
              <w:t>Personalnummer</w:t>
            </w:r>
          </w:p>
        </w:tc>
        <w:tc>
          <w:tcPr>
            <w:tcW w:type="dxa" w:w="3402"/>
            <w:vAlign w:val="center"/>
          </w:tcPr>
          <w:p>
            <w:r>
              <w:rPr>
                <w:rFonts w:ascii="Arial" w:hAnsi="Arial"/>
                <w:sz w:val="17"/>
              </w:rPr>
              <w:t>4187</w:t>
            </w:r>
          </w:p>
        </w:tc>
      </w:tr>
      <w:tr>
        <w:tc>
          <w:tcPr>
            <w:tcW w:type="dxa" w:w="1984"/>
            <w:vAlign w:val="center"/>
          </w:tcPr>
          <w:p>
            <w:r>
              <w:rPr>
                <w:rFonts w:ascii="Arial" w:hAnsi="Arial"/>
                <w:b/>
                <w:sz w:val="17"/>
              </w:rPr>
              <w:t>Ausgestellt</w:t>
            </w:r>
          </w:p>
        </w:tc>
        <w:tc>
          <w:tcPr>
            <w:tcW w:type="dxa" w:w="3402"/>
            <w:vAlign w:val="center"/>
          </w:tcPr>
          <w:p>
            <w:r>
              <w:rPr>
                <w:rFonts w:ascii="Arial" w:hAnsi="Arial"/>
                <w:sz w:val="17"/>
              </w:rPr>
              <w:t>24. Juni 2026</w:t>
            </w:r>
          </w:p>
        </w:tc>
      </w:tr>
    </w:tbl>
    <w:p/>
    <w:p>
      <w:pPr>
        <w:pStyle w:val="Title"/>
      </w:pPr>
      <w:r>
        <w:t>Arbeitgeberbescheinigung für den Rentenversicherungsträger</w:t>
      </w:r>
    </w:p>
    <w:p>
      <w:r>
        <w:t>Frau Thormählen ist seit 1. März 2020 als Küchenleitung mit einer Regelarbeitszeit von 28 Wochenstunden unbefristet beschäftigt. Das Grundentgelt beträgt seit 1. April 2026 monatlich 2240,00 Euro. Hinzu kommen eine Funktionszulage, dienstabhängige Zuschläge und vermögenswirksame Leistungen.</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1361"/>
            <w:vAlign w:val="center"/>
            <w:shd w:fill="3B5D42"/>
          </w:tcPr>
          <w:p>
            <w:r>
              <w:rPr>
                <w:rFonts w:ascii="Arial" w:hAnsi="Arial"/>
                <w:b/>
                <w:color w:val="FFFFFF"/>
                <w:sz w:val="17"/>
              </w:rPr>
              <w:t>Monat</w:t>
            </w:r>
          </w:p>
        </w:tc>
        <w:tc>
          <w:tcPr>
            <w:tcW w:type="dxa" w:w="1361"/>
            <w:vAlign w:val="center"/>
            <w:shd w:fill="3B5D42"/>
          </w:tcPr>
          <w:p>
            <w:r>
              <w:rPr>
                <w:rFonts w:ascii="Arial" w:hAnsi="Arial"/>
                <w:b/>
                <w:color w:val="FFFFFF"/>
                <w:sz w:val="17"/>
              </w:rPr>
              <w:t>Grundentgelt</w:t>
            </w:r>
          </w:p>
        </w:tc>
        <w:tc>
          <w:tcPr>
            <w:tcW w:type="dxa" w:w="1361"/>
            <w:vAlign w:val="center"/>
            <w:shd w:fill="3B5D42"/>
          </w:tcPr>
          <w:p>
            <w:r>
              <w:rPr>
                <w:rFonts w:ascii="Arial" w:hAnsi="Arial"/>
                <w:b/>
                <w:color w:val="FFFFFF"/>
                <w:sz w:val="17"/>
              </w:rPr>
              <w:t>Funktionszulage</w:t>
            </w:r>
          </w:p>
        </w:tc>
        <w:tc>
          <w:tcPr>
            <w:tcW w:type="dxa" w:w="1361"/>
            <w:vAlign w:val="center"/>
            <w:shd w:fill="3B5D42"/>
          </w:tcPr>
          <w:p>
            <w:r>
              <w:rPr>
                <w:rFonts w:ascii="Arial" w:hAnsi="Arial"/>
                <w:b/>
                <w:color w:val="FFFFFF"/>
                <w:sz w:val="17"/>
              </w:rPr>
              <w:t>steuerfreie Zuschläge</w:t>
            </w:r>
          </w:p>
        </w:tc>
        <w:tc>
          <w:tcPr>
            <w:tcW w:type="dxa" w:w="1361"/>
            <w:vAlign w:val="center"/>
            <w:shd w:fill="3B5D42"/>
          </w:tcPr>
          <w:p>
            <w:r>
              <w:rPr>
                <w:rFonts w:ascii="Arial" w:hAnsi="Arial"/>
                <w:b/>
                <w:color w:val="FFFFFF"/>
                <w:sz w:val="17"/>
              </w:rPr>
              <w:t>steuerpflichtige Zuschläge</w:t>
            </w:r>
          </w:p>
        </w:tc>
        <w:tc>
          <w:tcPr>
            <w:tcW w:type="dxa" w:w="1361"/>
            <w:vAlign w:val="center"/>
            <w:shd w:fill="3B5D42"/>
          </w:tcPr>
          <w:p>
            <w:r>
              <w:rPr>
                <w:rFonts w:ascii="Arial" w:hAnsi="Arial"/>
                <w:b/>
                <w:color w:val="FFFFFF"/>
                <w:sz w:val="17"/>
              </w:rPr>
              <w:t>Einmalzahlung</w:t>
            </w:r>
          </w:p>
        </w:tc>
        <w:tc>
          <w:tcPr>
            <w:tcW w:type="dxa" w:w="1361"/>
            <w:vAlign w:val="center"/>
            <w:shd w:fill="3B5D42"/>
          </w:tcPr>
          <w:p>
            <w:r>
              <w:rPr>
                <w:rFonts w:ascii="Arial" w:hAnsi="Arial"/>
                <w:b/>
                <w:color w:val="FFFFFF"/>
                <w:sz w:val="17"/>
              </w:rPr>
              <w:t>Gesamtbrutto</w:t>
            </w:r>
          </w:p>
        </w:tc>
      </w:tr>
      <w:tr>
        <w:tc>
          <w:tcPr>
            <w:tcW w:type="dxa" w:w="1361"/>
            <w:vAlign w:val="center"/>
          </w:tcPr>
          <w:p>
            <w:r>
              <w:rPr>
                <w:rFonts w:ascii="Arial" w:hAnsi="Arial"/>
                <w:sz w:val="17"/>
              </w:rPr>
              <w:t>Mai 2026</w:t>
            </w:r>
          </w:p>
        </w:tc>
        <w:tc>
          <w:tcPr>
            <w:tcW w:type="dxa" w:w="1361"/>
            <w:vAlign w:val="center"/>
          </w:tcPr>
          <w:p>
            <w:r>
              <w:rPr>
                <w:rFonts w:ascii="Arial" w:hAnsi="Arial"/>
                <w:sz w:val="17"/>
              </w:rPr>
              <w:t>2240,00</w:t>
            </w:r>
          </w:p>
        </w:tc>
        <w:tc>
          <w:tcPr>
            <w:tcW w:type="dxa" w:w="1361"/>
            <w:vAlign w:val="center"/>
          </w:tcPr>
          <w:p>
            <w:r>
              <w:rPr>
                <w:rFonts w:ascii="Arial" w:hAnsi="Arial"/>
                <w:sz w:val="17"/>
              </w:rPr>
              <w:t>110,00</w:t>
            </w:r>
          </w:p>
        </w:tc>
        <w:tc>
          <w:tcPr>
            <w:tcW w:type="dxa" w:w="1361"/>
            <w:vAlign w:val="center"/>
          </w:tcPr>
          <w:p>
            <w:r>
              <w:rPr>
                <w:rFonts w:ascii="Arial" w:hAnsi="Arial"/>
                <w:sz w:val="17"/>
              </w:rPr>
              <w:t>92,80</w:t>
            </w:r>
          </w:p>
        </w:tc>
        <w:tc>
          <w:tcPr>
            <w:tcW w:type="dxa" w:w="1361"/>
            <w:vAlign w:val="center"/>
          </w:tcPr>
          <w:p>
            <w:r>
              <w:rPr>
                <w:rFonts w:ascii="Arial" w:hAnsi="Arial"/>
                <w:sz w:val="17"/>
              </w:rPr>
              <w:t>38,40</w:t>
            </w:r>
          </w:p>
        </w:tc>
        <w:tc>
          <w:tcPr>
            <w:tcW w:type="dxa" w:w="1361"/>
            <w:vAlign w:val="center"/>
          </w:tcPr>
          <w:p>
            <w:r>
              <w:rPr>
                <w:rFonts w:ascii="Arial" w:hAnsi="Arial"/>
                <w:sz w:val="17"/>
              </w:rPr>
              <w:t>0,00</w:t>
            </w:r>
          </w:p>
        </w:tc>
        <w:tc>
          <w:tcPr>
            <w:tcW w:type="dxa" w:w="1361"/>
            <w:vAlign w:val="center"/>
          </w:tcPr>
          <w:p>
            <w:r>
              <w:rPr>
                <w:rFonts w:ascii="Arial" w:hAnsi="Arial"/>
                <w:sz w:val="17"/>
              </w:rPr>
              <w:t>2481,20</w:t>
            </w:r>
          </w:p>
        </w:tc>
      </w:tr>
      <w:tr>
        <w:tc>
          <w:tcPr>
            <w:tcW w:type="dxa" w:w="1361"/>
            <w:vAlign w:val="center"/>
          </w:tcPr>
          <w:p>
            <w:r>
              <w:rPr>
                <w:rFonts w:ascii="Arial" w:hAnsi="Arial"/>
                <w:sz w:val="17"/>
              </w:rPr>
              <w:t>Juni 2026</w:t>
            </w:r>
          </w:p>
        </w:tc>
        <w:tc>
          <w:tcPr>
            <w:tcW w:type="dxa" w:w="1361"/>
            <w:vAlign w:val="center"/>
          </w:tcPr>
          <w:p>
            <w:r>
              <w:rPr>
                <w:rFonts w:ascii="Arial" w:hAnsi="Arial"/>
                <w:sz w:val="17"/>
              </w:rPr>
              <w:t>2240,00</w:t>
            </w:r>
          </w:p>
        </w:tc>
        <w:tc>
          <w:tcPr>
            <w:tcW w:type="dxa" w:w="1361"/>
            <w:vAlign w:val="center"/>
          </w:tcPr>
          <w:p>
            <w:r>
              <w:rPr>
                <w:rFonts w:ascii="Arial" w:hAnsi="Arial"/>
                <w:sz w:val="17"/>
              </w:rPr>
              <w:t>110,00</w:t>
            </w:r>
          </w:p>
        </w:tc>
        <w:tc>
          <w:tcPr>
            <w:tcW w:type="dxa" w:w="1361"/>
            <w:vAlign w:val="center"/>
          </w:tcPr>
          <w:p>
            <w:r>
              <w:rPr>
                <w:rFonts w:ascii="Arial" w:hAnsi="Arial"/>
                <w:sz w:val="17"/>
              </w:rPr>
              <w:t>126,40</w:t>
            </w:r>
          </w:p>
        </w:tc>
        <w:tc>
          <w:tcPr>
            <w:tcW w:type="dxa" w:w="1361"/>
            <w:vAlign w:val="center"/>
          </w:tcPr>
          <w:p>
            <w:r>
              <w:rPr>
                <w:rFonts w:ascii="Arial" w:hAnsi="Arial"/>
                <w:sz w:val="17"/>
              </w:rPr>
              <w:t>57,60</w:t>
            </w:r>
          </w:p>
        </w:tc>
        <w:tc>
          <w:tcPr>
            <w:tcW w:type="dxa" w:w="1361"/>
            <w:vAlign w:val="center"/>
          </w:tcPr>
          <w:p>
            <w:r>
              <w:rPr>
                <w:rFonts w:ascii="Arial" w:hAnsi="Arial"/>
                <w:sz w:val="17"/>
              </w:rPr>
              <w:t>0,00</w:t>
            </w:r>
          </w:p>
        </w:tc>
        <w:tc>
          <w:tcPr>
            <w:tcW w:type="dxa" w:w="1361"/>
            <w:vAlign w:val="center"/>
          </w:tcPr>
          <w:p>
            <w:r>
              <w:rPr>
                <w:rFonts w:ascii="Arial" w:hAnsi="Arial"/>
                <w:sz w:val="17"/>
              </w:rPr>
              <w:t>2534,00</w:t>
            </w:r>
          </w:p>
        </w:tc>
      </w:tr>
      <w:tr>
        <w:tc>
          <w:tcPr>
            <w:tcW w:type="dxa" w:w="1361"/>
            <w:vAlign w:val="center"/>
          </w:tcPr>
          <w:p>
            <w:r>
              <w:rPr>
                <w:rFonts w:ascii="Arial" w:hAnsi="Arial"/>
                <w:sz w:val="17"/>
              </w:rPr>
              <w:t>Juli 2026</w:t>
            </w:r>
          </w:p>
        </w:tc>
        <w:tc>
          <w:tcPr>
            <w:tcW w:type="dxa" w:w="1361"/>
            <w:vAlign w:val="center"/>
          </w:tcPr>
          <w:p>
            <w:r>
              <w:rPr>
                <w:rFonts w:ascii="Arial" w:hAnsi="Arial"/>
                <w:sz w:val="17"/>
              </w:rPr>
              <w:t>2240,00</w:t>
            </w:r>
          </w:p>
        </w:tc>
        <w:tc>
          <w:tcPr>
            <w:tcW w:type="dxa" w:w="1361"/>
            <w:vAlign w:val="center"/>
          </w:tcPr>
          <w:p>
            <w:r>
              <w:rPr>
                <w:rFonts w:ascii="Arial" w:hAnsi="Arial"/>
                <w:sz w:val="17"/>
              </w:rPr>
              <w:t>110,00</w:t>
            </w:r>
          </w:p>
        </w:tc>
        <w:tc>
          <w:tcPr>
            <w:tcW w:type="dxa" w:w="1361"/>
            <w:vAlign w:val="center"/>
          </w:tcPr>
          <w:p>
            <w:r>
              <w:rPr>
                <w:rFonts w:ascii="Arial" w:hAnsi="Arial"/>
                <w:sz w:val="17"/>
              </w:rPr>
              <w:t>88,00</w:t>
            </w:r>
          </w:p>
        </w:tc>
        <w:tc>
          <w:tcPr>
            <w:tcW w:type="dxa" w:w="1361"/>
            <w:vAlign w:val="center"/>
          </w:tcPr>
          <w:p>
            <w:r>
              <w:rPr>
                <w:rFonts w:ascii="Arial" w:hAnsi="Arial"/>
                <w:sz w:val="17"/>
              </w:rPr>
              <w:t>19,20</w:t>
            </w:r>
          </w:p>
        </w:tc>
        <w:tc>
          <w:tcPr>
            <w:tcW w:type="dxa" w:w="1361"/>
            <w:vAlign w:val="center"/>
          </w:tcPr>
          <w:p>
            <w:r>
              <w:rPr>
                <w:rFonts w:ascii="Arial" w:hAnsi="Arial"/>
                <w:sz w:val="17"/>
              </w:rPr>
              <w:t>350,00</w:t>
            </w:r>
          </w:p>
        </w:tc>
        <w:tc>
          <w:tcPr>
            <w:tcW w:type="dxa" w:w="1361"/>
            <w:vAlign w:val="center"/>
          </w:tcPr>
          <w:p>
            <w:r>
              <w:rPr>
                <w:rFonts w:ascii="Arial" w:hAnsi="Arial"/>
                <w:sz w:val="17"/>
              </w:rPr>
              <w:t>2807,20</w:t>
            </w:r>
          </w:p>
        </w:tc>
      </w:tr>
      <w:tr>
        <w:tc>
          <w:tcPr>
            <w:tcW w:type="dxa" w:w="1361"/>
            <w:vAlign w:val="center"/>
          </w:tcPr>
          <w:p>
            <w:r>
              <w:rPr>
                <w:rFonts w:ascii="Arial" w:hAnsi="Arial"/>
                <w:sz w:val="17"/>
              </w:rPr>
              <w:t>August 2026 geplant</w:t>
            </w:r>
          </w:p>
        </w:tc>
        <w:tc>
          <w:tcPr>
            <w:tcW w:type="dxa" w:w="1361"/>
            <w:vAlign w:val="center"/>
          </w:tcPr>
          <w:p>
            <w:r>
              <w:rPr>
                <w:rFonts w:ascii="Arial" w:hAnsi="Arial"/>
                <w:sz w:val="17"/>
              </w:rPr>
              <w:t>2240,00</w:t>
            </w:r>
          </w:p>
        </w:tc>
        <w:tc>
          <w:tcPr>
            <w:tcW w:type="dxa" w:w="1361"/>
            <w:vAlign w:val="center"/>
          </w:tcPr>
          <w:p>
            <w:r>
              <w:rPr>
                <w:rFonts w:ascii="Arial" w:hAnsi="Arial"/>
                <w:sz w:val="17"/>
              </w:rPr>
              <w:t>110,00</w:t>
            </w:r>
          </w:p>
        </w:tc>
        <w:tc>
          <w:tcPr>
            <w:tcW w:type="dxa" w:w="1361"/>
            <w:vAlign w:val="center"/>
          </w:tcPr>
          <w:p>
            <w:r>
              <w:rPr>
                <w:rFonts w:ascii="Arial" w:hAnsi="Arial"/>
                <w:sz w:val="17"/>
              </w:rPr>
              <w:t>70,40</w:t>
            </w:r>
          </w:p>
        </w:tc>
        <w:tc>
          <w:tcPr>
            <w:tcW w:type="dxa" w:w="1361"/>
            <w:vAlign w:val="center"/>
          </w:tcPr>
          <w:p>
            <w:r>
              <w:rPr>
                <w:rFonts w:ascii="Arial" w:hAnsi="Arial"/>
                <w:sz w:val="17"/>
              </w:rPr>
              <w:t>19,20</w:t>
            </w:r>
          </w:p>
        </w:tc>
        <w:tc>
          <w:tcPr>
            <w:tcW w:type="dxa" w:w="1361"/>
            <w:vAlign w:val="center"/>
          </w:tcPr>
          <w:p>
            <w:r>
              <w:rPr>
                <w:rFonts w:ascii="Arial" w:hAnsi="Arial"/>
                <w:sz w:val="17"/>
              </w:rPr>
              <w:t>0,00</w:t>
            </w:r>
          </w:p>
        </w:tc>
        <w:tc>
          <w:tcPr>
            <w:tcW w:type="dxa" w:w="1361"/>
            <w:vAlign w:val="center"/>
          </w:tcPr>
          <w:p>
            <w:r>
              <w:rPr>
                <w:rFonts w:ascii="Arial" w:hAnsi="Arial"/>
                <w:sz w:val="17"/>
              </w:rPr>
              <w:t>2439,60</w:t>
            </w:r>
          </w:p>
        </w:tc>
      </w:tr>
    </w:tbl>
    <w:p/>
    <w:p>
      <w:r>
        <w:t>Die steuerfreien Zuschläge betreffen Sonn- und Feiertagsdienste; die steuerpflichtigen Zuschläge kurzfristige Dienstplanänderungen. Urlaubsgeld wird einmal jährlich gezahlt. Eine Jahressonderzahlung von voraussichtlich 1150,00 Euro ist für November vorgesehen, sofern das Arbeitsverhältnis am 30. November besteht.</w:t>
      </w:r>
    </w:p>
    <w:p>
      <w:r>
        <w:t>Die Arbeitgeberin nimmt keine Bewertung vor, welche Bestandteile bei der Witwenrente anzurechnen sind. Die Bescheinigung bildet die tatsächliche Entgeltabrechnung und die derzeit geplanten Zahlungen ab.</w:t>
      </w:r>
    </w:p>
    <w:p/>
    <w:p>
      <w:r>
        <w:rPr>
          <w:rFonts w:ascii="Arial" w:hAnsi="Arial"/>
          <w:b/>
          <w:sz w:val="20"/>
        </w:rPr>
        <w:t>Kareen Nold</w:t>
        <w:br/>
      </w:r>
      <w:r>
        <w:rPr>
          <w:rFonts w:ascii="Arial" w:hAnsi="Arial"/>
          <w:sz w:val="20"/>
        </w:rPr>
        <w:t>Personalabteilung</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08a_arbeitgeberbescheinigung_entgelt_2026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B5D42"/>
        <w:sz w:val="20"/>
      </w:rPr>
      <w:t>St. Jürgen Pflege gGmbH · Personalservice</w:t>
    </w:r>
  </w:p>
  <w:p>
    <w:pPr>
      <w:spacing w:after="0"/>
      <w:pBdr>
        <w:bottom w:val="single" w:sz="8" w:space="3" w:color="3B5D42"/>
      </w:pBdr>
    </w:pPr>
    <w:r>
      <w:rPr>
        <w:rFonts w:ascii="Arial" w:hAnsi="Arial"/>
        <w:sz w:val="16"/>
      </w:rPr>
      <w:t>Ratzeburger Allee 34, 23562 Lübeck | Telefon 0451 5808-112 | HRB 7718 Lübeck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5D4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B5D4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B5D4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Arbeitgeberbescheinigung für den Rentenversicherungsträger</dc:title>
  <dc:subject/>
  <dc:creator>St. Jürgen Pflege gGmbH · Personalservice</dc:creator>
  <cp:keywords/>
  <dc:description>generated by python-docx</dc:description>
  <cp:lastModifiedBy/>
  <cp:revision>1</cp:revision>
  <dcterms:created xsi:type="dcterms:W3CDTF">2013-12-23T23:15:00Z</dcterms:created>
  <dcterms:modified xsi:type="dcterms:W3CDTF">2013-12-23T23:15:00Z</dcterms:modified>
  <cp:category/>
</cp:coreProperties>
</file>