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 GdB Krebsrezidiv</w:t>
      </w:r>
    </w:p>
    <w:p>
      <w:pPr>
        <w:pStyle w:val="Heading2"/>
      </w:pPr>
      <w:r>
        <w:rPr>
          <w:rFonts w:ascii="Times New Roman" w:hAnsi="Times New Roman"/>
        </w:rPr>
        <w:t>1. Antrag</w:t>
      </w:r>
    </w:p>
    <w:p>
      <w:pPr>
        <w:jc w:val="left"/>
      </w:pPr>
      <w:r>
        <w:t>Gegen den Bescheid vom 16.06.2026 wird Widerspruch eingelegt. Beantragt wird die Feststellung der Schwerbehinderteneigenschaft ab Antragstellung, hilfsweise erneute Entscheidung nach Beiziehung der vollständigen onkologischen Unterlagen.</w:t>
      </w:r>
    </w:p>
    <w:p>
      <w:pPr>
        <w:pStyle w:val="Heading2"/>
      </w:pPr>
      <w:r>
        <w:rPr>
          <w:rFonts w:ascii="Times New Roman" w:hAnsi="Times New Roman"/>
        </w:rPr>
        <w:t>2. Begründung</w:t>
      </w:r>
    </w:p>
    <w:p>
      <w:pPr>
        <w:jc w:val="left"/>
      </w:pPr>
      <w:r>
        <w:t>Die Behörde hat Rezidiv, laufende Systemtherapie, Lymphödem, Fatigue und konkrete Funktionsfolgen nicht hinreichend zusammengeführt. Gerade die erneute Erkrankung nach früherer Heilungsbewährung verlangt eine eigenständige Bewertung. Die laufende Therapie darf nicht pauschal gegen die Feststellung verwendet werden, wenn die Teilhabebeeinträchtigung bereits aktuell erheblich ist.</w:t>
      </w:r>
    </w:p>
    <w:p>
      <w:pPr>
        <w:pStyle w:val="Heading2"/>
      </w:pPr>
      <w:r>
        <w:rPr>
          <w:rFonts w:ascii="Times New Roman" w:hAnsi="Times New Roman"/>
        </w:rPr>
        <w:t>3. Beweismittel</w:t>
      </w:r>
    </w:p>
    <w:p>
      <w:pPr>
        <w:jc w:val="left"/>
      </w:pPr>
      <w:r>
        <w:t>Onkologiebericht, Therapiekalender, Lymphödemtherapie, Arbeitgebernotiz, Fotos Kompressionsversorgung, Befund Psychoonkologie und Reha-Antrag.</w:t>
      </w:r>
    </w:p>
    <w:p>
      <w:pPr>
        <w:pStyle w:val="Heading2"/>
      </w:pPr>
      <w:r>
        <w:t>Belegführung und noch offene Unterlagen</w:t>
      </w:r>
    </w:p>
    <w:p>
      <w:r>
        <w:t>Der Widerspruch nimmt auf das Operationsdatum, den Beginn der Chemotherapie und den Bericht des Tumorzentrums Bezug. Beigefügt werden Histologie, Tumorboardbeschluss, Therapieplan, Lymphödemmessung und eine kurze Arbeitsplatzbeschreibung. Die Schwester schildert nur selbst beobachtete Hilfen nach den Infusionen.</w:t>
      </w:r>
    </w:p>
    <w:p>
      <w:r>
        <w:t>Zugleich wird Akteneinsicht in die versorgungsärztliche Stellungnahme verlangt, weil der jüngste Tumorbericht im Bescheid nicht erkennbar ausgewertet ist. Eine abschließende Prognose oder Rentenaussage wird nicht vorweggenommen. Der Entwurf bleibt bis zur ärztlichen Freigabe der Anlagen und zur Kontrolle des Zugangsdatums unversandt.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06_widerspruch_entwurf.docx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Widerspruch Kahl · Entwurf 27.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