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556"/>
        <w:gridCol w:w="3515"/>
      </w:tblGrid>
      <w:tr>
        <w:tc>
          <w:tcPr>
            <w:tcW w:type="dxa" w:w="5556"/>
            <w:vAlign w:val="center"/>
            <w:tcMar>
              <w:top w:w="70" w:type="dxa"/>
              <w:left w:w="70" w:type="dxa"/>
              <w:bottom w:w="70" w:type="dxa"/>
              <w:right w:w="70" w:type="dxa"/>
            </w:tcMar>
          </w:tcPr>
          <w:p>
            <w:pPr>
              <w:spacing w:after="0"/>
            </w:pPr>
            <w:r>
              <w:rPr>
                <w:rFonts w:ascii="Arial" w:hAnsi="Arial"/>
                <w:b/>
                <w:color w:val="24364B"/>
                <w:sz w:val="30"/>
              </w:rPr>
              <w:t>KINDERARZTPRAXIS DR. HENRIETTE WEGMANN</w:t>
            </w:r>
          </w:p>
        </w:tc>
        <w:tc>
          <w:tcPr>
            <w:tcW w:type="dxa" w:w="3515"/>
            <w:vAlign w:val="center"/>
            <w:tcMar>
              <w:top w:w="70" w:type="dxa"/>
              <w:left w:w="70" w:type="dxa"/>
              <w:bottom w:w="70" w:type="dxa"/>
              <w:right w:w="70" w:type="dxa"/>
            </w:tcMar>
          </w:tcPr>
          <w:p>
            <w:pPr>
              <w:spacing w:after="0"/>
              <w:jc w:val="right"/>
            </w:pPr>
            <w:r>
              <w:rPr>
                <w:rFonts w:ascii="Arial" w:hAnsi="Arial"/>
                <w:sz w:val="16"/>
              </w:rPr>
              <w:t>Karl-Heine-Straße 92 · 04229 Leipzig</w:t>
              <w:br/>
              <w:t>Telefon 0341 301 88-22</w:t>
              <w:br/>
              <w:t>LANR 987654321</w:t>
            </w:r>
          </w:p>
        </w:tc>
      </w:tr>
    </w:tbl>
    <w:p>
      <w:pPr>
        <w:spacing w:after="40"/>
      </w:pPr>
    </w:p>
    <w:tbl>
      <w:tblPr>
        <w:tblW w:type="auto" w:w="0"/>
        <w:jc w:val="left"/>
        <w:tblLayout w:type="fixed"/>
        <w:tblLook w:firstColumn="1" w:firstRow="1" w:lastColumn="0" w:lastRow="0" w:noHBand="0" w:noVBand="1" w:val="04A0"/>
      </w:tblPr>
      <w:tblGrid>
        <w:gridCol w:w="2041"/>
        <w:gridCol w:w="6973"/>
      </w:tblGrid>
      <w:tr>
        <w:tc>
          <w:tcPr>
            <w:tcW w:type="dxa" w:w="2041"/>
            <w:shd w:fill="E9EEF2"/>
            <w:tcMar>
              <w:top w:w="90" w:type="dxa"/>
              <w:left w:w="90" w:type="dxa"/>
              <w:bottom w:w="90" w:type="dxa"/>
              <w:right w:w="90" w:type="dxa"/>
            </w:tcMar>
            <w:vAlign w:val="center"/>
          </w:tcPr>
          <w:p>
            <w:r>
              <w:rPr>
                <w:rFonts w:ascii="Arial" w:hAnsi="Arial"/>
                <w:b/>
                <w:sz w:val="18"/>
              </w:rPr>
              <w:t>Adressatin</w:t>
            </w:r>
          </w:p>
        </w:tc>
        <w:tc>
          <w:tcPr>
            <w:tcW w:type="dxa" w:w="6973"/>
            <w:tcMar>
              <w:top w:w="90" w:type="dxa"/>
              <w:left w:w="90" w:type="dxa"/>
              <w:bottom w:w="90" w:type="dxa"/>
              <w:right w:w="90" w:type="dxa"/>
            </w:tcMar>
            <w:vAlign w:val="center"/>
          </w:tcPr>
          <w:p>
            <w:r>
              <w:rPr>
                <w:rFonts w:ascii="Arial" w:hAnsi="Arial"/>
                <w:sz w:val="18"/>
              </w:rPr>
              <w:t>Alma Reuter</w:t>
            </w:r>
          </w:p>
        </w:tc>
      </w:tr>
      <w:tr>
        <w:tc>
          <w:tcPr>
            <w:tcW w:type="dxa" w:w="2041"/>
            <w:shd w:fill="E9EEF2"/>
            <w:tcMar>
              <w:top w:w="90" w:type="dxa"/>
              <w:left w:w="90" w:type="dxa"/>
              <w:bottom w:w="90" w:type="dxa"/>
              <w:right w:w="90" w:type="dxa"/>
            </w:tcMar>
            <w:vAlign w:val="center"/>
          </w:tcPr>
          <w:p>
            <w:r>
              <w:rPr>
                <w:rFonts w:ascii="Arial" w:hAnsi="Arial"/>
                <w:b/>
                <w:sz w:val="18"/>
              </w:rPr>
              <w:t>Bezug</w:t>
            </w:r>
          </w:p>
        </w:tc>
        <w:tc>
          <w:tcPr>
            <w:tcW w:type="dxa" w:w="6973"/>
            <w:tcMar>
              <w:top w:w="90" w:type="dxa"/>
              <w:left w:w="90" w:type="dxa"/>
              <w:bottom w:w="90" w:type="dxa"/>
              <w:right w:w="90" w:type="dxa"/>
            </w:tcMar>
            <w:vAlign w:val="center"/>
          </w:tcPr>
          <w:p>
            <w:r>
              <w:rPr>
                <w:rFonts w:ascii="Arial" w:hAnsi="Arial"/>
                <w:sz w:val="18"/>
              </w:rPr>
              <w:t>Attest vom 21. Mai 2026</w:t>
            </w:r>
          </w:p>
        </w:tc>
      </w:tr>
      <w:tr>
        <w:tc>
          <w:tcPr>
            <w:tcW w:type="dxa" w:w="2041"/>
            <w:shd w:fill="E9EEF2"/>
            <w:tcMar>
              <w:top w:w="90" w:type="dxa"/>
              <w:left w:w="90" w:type="dxa"/>
              <w:bottom w:w="90" w:type="dxa"/>
              <w:right w:w="90" w:type="dxa"/>
            </w:tcMar>
            <w:vAlign w:val="center"/>
          </w:tcPr>
          <w:p>
            <w:r>
              <w:rPr>
                <w:rFonts w:ascii="Arial" w:hAnsi="Arial"/>
                <w:b/>
                <w:sz w:val="18"/>
              </w:rPr>
              <w:t>Datum</w:t>
            </w:r>
          </w:p>
        </w:tc>
        <w:tc>
          <w:tcPr>
            <w:tcW w:type="dxa" w:w="6973"/>
            <w:tcMar>
              <w:top w:w="90" w:type="dxa"/>
              <w:left w:w="90" w:type="dxa"/>
              <w:bottom w:w="90" w:type="dxa"/>
              <w:right w:w="90" w:type="dxa"/>
            </w:tcMar>
            <w:vAlign w:val="center"/>
          </w:tcPr>
          <w:p>
            <w:r>
              <w:rPr>
                <w:rFonts w:ascii="Arial" w:hAnsi="Arial"/>
                <w:sz w:val="18"/>
              </w:rPr>
              <w:t>27. Mai 2026</w:t>
            </w:r>
          </w:p>
        </w:tc>
      </w:tr>
    </w:tbl>
    <w:p>
      <w:pPr>
        <w:spacing w:after="20"/>
      </w:pPr>
    </w:p>
    <w:p>
      <w:pPr>
        <w:pStyle w:val="Title"/>
      </w:pPr>
      <w:r>
        <w:t>Ergänzende ärztliche Stellungnahme</w:t>
      </w:r>
    </w:p>
    <w:p>
      <w:pPr>
        <w:pStyle w:val="Heading1"/>
      </w:pPr>
      <w:r>
        <w:t>Anlass der Ergänzung</w:t>
      </w:r>
    </w:p>
    <w:p>
      <w:r>
        <w:t>Frau Reuter legte den Widerspruchsbescheid des Jobcenters und ihr Raumtemperaturprotokoll vor. Sie bat um eine genauere Erläuterung, weil das erste Attest nach ihrer Darstellung als zu allgemein bewertet wurde. Die Angaben zum Gebäude wurden nicht ärztlich überprüft.</w:t>
      </w:r>
    </w:p>
    <w:p>
      <w:pPr>
        <w:pStyle w:val="Heading1"/>
      </w:pPr>
      <w:r>
        <w:t>Medizinische Einordnung</w:t>
      </w:r>
    </w:p>
    <w:p>
      <w:r>
        <w:t>Bei Jonas Reuter besteht ein allergisches Asthma mit nachgewiesener Empfindlichkeit gegenüber kalter und feuchter Luft. Nach den in der Praxis dokumentierten Verläufen ist eine deutliche nächtliche Auskühlung der Aufenthaltsräume zu vermeiden. Für Wohn- und Schlafräume wird ein Bereich von etwa 20 bis 22 Grad angestrebt; Werte unter 18 Grad über längere Zeit sind aus pädiatrischer Sicht ungünstig.</w:t>
      </w:r>
    </w:p>
    <w:p>
      <w:r>
        <w:t>Diese Empfehlung bedeutet nicht, dass jeder Mehrverbrauch medizinisch verursacht ist. Für die Beurteilung sind Wohnungszustand, Außentemperaturen, Lüftungsverhalten und technische Heizleistung gemeinsam zu betrachten. Eine pneumologische Spezialuntersuchung ist angefragt, kurzfristig aber nicht verfügbar.</w:t>
      </w:r>
    </w:p>
    <w:p>
      <w:pPr>
        <w:pStyle w:val="Heading1"/>
      </w:pPr>
      <w:r>
        <w:t>Beigefügte Behandlungsunterlagen</w:t>
      </w:r>
    </w:p>
    <w:p>
      <w:r>
        <w:t>Auszug aus dem Peak-Flow-Tagebuch Februar bis Mai 2026, Medikamentenplan vom 5. April 2026 und Praxisverlauf mit den Kontakten vom 8. Januar, 17. März und 19. Mai 2026.</w:t>
      </w:r>
    </w:p>
    <w:p>
      <w:r>
        <w:t>Dr. med. Henriette Wegmann</w:t>
        <w:br/>
        <w:t>Fachärztin für Kinder- und Jugendmedizin</w:t>
        <w:br/>
        <w:t>Unterschrift und Praxisstempel</w:t>
      </w:r>
    </w:p>
    <w:sectPr w:rsidR="00FC693F" w:rsidRPr="0006063C" w:rsidSect="00034616">
      <w:footerReference w:type="default" r:id="rId9"/>
      <w:pgSz w:w="11906" w:h="16838"/>
      <w:pgMar w:top="964" w:right="1191" w:bottom="96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6"/>
      </w:rPr>
      <w:t>KINDERARZTPRAXIS DR. HENRIETTE WEGMANN · Patient Jonas Reuter · 14.03.2014</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4364B"/>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85A6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24364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06b ergaenzendes attest 2026-05-27</dc:title>
  <dc:subject/>
  <dc:creator>Kanzleiakte</dc:creator>
  <cp:keywords/>
  <dc:description>generated by python-docx</dc:description>
  <cp:lastModifiedBy>Kanzleiakte</cp:lastModifiedBy>
  <cp:revision>1</cp:revision>
  <dcterms:created xsi:type="dcterms:W3CDTF">2013-12-23T23:15:00Z</dcterms:created>
  <dcterms:modified xsi:type="dcterms:W3CDTF">2013-12-23T23:15:00Z</dcterms:modified>
  <cp:category/>
</cp:coreProperties>
</file>