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KdU-Konzept Leipzig und Internet-Recherche Frau Reuter</w:t>
      </w:r>
    </w:p>
    <w:p>
      <w:pPr>
        <w:pStyle w:val="Heading2"/>
      </w:pPr>
      <w:r>
        <w:rPr>
          <w:rFonts w:ascii="Times New Roman" w:hAnsi="Times New Roman"/>
        </w:rPr>
        <w:t>KdU-Konzept der Stadt Leipzig (Auszug, abgerufen am 26. Mai 2026)</w:t>
      </w:r>
    </w:p>
    <w:p>
      <w:pPr>
        <w:jc w:val="left"/>
      </w:pPr>
      <w:r>
        <w:t>Quelle: ausgedruckte PDF-Seite vom städtischen Sozialamt Leipzig, "Konzept zur Ermittlung der angemessenen Aufwendungen für die Unterkunft und Heizung in der Stadt Leipzig, Fortschreibung 2025/2026, Stand März 2025".</w:t>
      </w:r>
    </w:p>
    <w:p>
      <w:pPr>
        <w:jc w:val="left"/>
      </w:pPr>
      <w:r>
        <w:t>Aus der Tabelle "Angemessene Bruttokaltmiete":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Personen im Haushalt</w:t>
            </w:r>
          </w:p>
        </w:tc>
        <w:tc>
          <w:tcPr>
            <w:tcW w:type="dxa" w:w="3024"/>
          </w:tcPr>
          <w:p>
            <w:r>
              <w:rPr>
                <w:rFonts w:ascii="Times New Roman" w:hAnsi="Times New Roman"/>
                <w:b/>
                <w:sz w:val="20"/>
              </w:rPr>
              <w:t>Wohnungsgröße (m²) bis</w:t>
            </w:r>
          </w:p>
        </w:tc>
        <w:tc>
          <w:tcPr>
            <w:tcW w:type="dxa" w:w="3024"/>
          </w:tcPr>
          <w:p>
            <w:r>
              <w:rPr>
                <w:rFonts w:ascii="Times New Roman" w:hAnsi="Times New Roman"/>
                <w:b/>
                <w:sz w:val="20"/>
              </w:rPr>
              <w:t>Bruttokaltmiete bis</w:t>
            </w:r>
          </w:p>
        </w:tc>
      </w:tr>
      <w:tr>
        <w:tc>
          <w:tcPr>
            <w:tcW w:type="dxa" w:w="3024"/>
          </w:tcPr>
          <w:p>
            <w:r>
              <w:rPr>
                <w:rFonts w:ascii="Times New Roman" w:hAnsi="Times New Roman"/>
                <w:sz w:val="20"/>
              </w:rPr>
              <w:t>1 Person</w:t>
            </w:r>
          </w:p>
        </w:tc>
        <w:tc>
          <w:tcPr>
            <w:tcW w:type="dxa" w:w="3024"/>
          </w:tcPr>
          <w:p>
            <w:r>
              <w:rPr>
                <w:rFonts w:ascii="Times New Roman" w:hAnsi="Times New Roman"/>
                <w:sz w:val="20"/>
              </w:rPr>
              <w:t>45</w:t>
            </w:r>
          </w:p>
        </w:tc>
        <w:tc>
          <w:tcPr>
            <w:tcW w:type="dxa" w:w="3024"/>
          </w:tcPr>
          <w:p>
            <w:r>
              <w:rPr>
                <w:rFonts w:ascii="Times New Roman" w:hAnsi="Times New Roman"/>
                <w:sz w:val="20"/>
              </w:rPr>
              <w:t>387 EUR</w:t>
            </w:r>
          </w:p>
        </w:tc>
      </w:tr>
      <w:tr>
        <w:tc>
          <w:tcPr>
            <w:tcW w:type="dxa" w:w="3024"/>
          </w:tcPr>
          <w:p>
            <w:r>
              <w:rPr>
                <w:rFonts w:ascii="Times New Roman" w:hAnsi="Times New Roman"/>
                <w:sz w:val="20"/>
              </w:rPr>
              <w:t>2 Personen</w:t>
            </w:r>
          </w:p>
        </w:tc>
        <w:tc>
          <w:tcPr>
            <w:tcW w:type="dxa" w:w="3024"/>
          </w:tcPr>
          <w:p>
            <w:r>
              <w:rPr>
                <w:rFonts w:ascii="Times New Roman" w:hAnsi="Times New Roman"/>
                <w:sz w:val="20"/>
              </w:rPr>
              <w:t>60</w:t>
            </w:r>
          </w:p>
        </w:tc>
        <w:tc>
          <w:tcPr>
            <w:tcW w:type="dxa" w:w="3024"/>
          </w:tcPr>
          <w:p>
            <w:r>
              <w:rPr>
                <w:rFonts w:ascii="Times New Roman" w:hAnsi="Times New Roman"/>
                <w:sz w:val="20"/>
              </w:rPr>
              <w:t>487 EUR</w:t>
            </w:r>
          </w:p>
        </w:tc>
      </w:tr>
      <w:tr>
        <w:tc>
          <w:tcPr>
            <w:tcW w:type="dxa" w:w="3024"/>
          </w:tcPr>
          <w:p>
            <w:r>
              <w:rPr>
                <w:rFonts w:ascii="Times New Roman" w:hAnsi="Times New Roman"/>
                <w:sz w:val="20"/>
              </w:rPr>
              <w:t>3 Personen</w:t>
            </w:r>
          </w:p>
        </w:tc>
        <w:tc>
          <w:tcPr>
            <w:tcW w:type="dxa" w:w="3024"/>
          </w:tcPr>
          <w:p>
            <w:r>
              <w:rPr>
                <w:rFonts w:ascii="Times New Roman" w:hAnsi="Times New Roman"/>
                <w:sz w:val="20"/>
              </w:rPr>
              <w:t>75</w:t>
            </w:r>
          </w:p>
        </w:tc>
        <w:tc>
          <w:tcPr>
            <w:tcW w:type="dxa" w:w="3024"/>
          </w:tcPr>
          <w:p>
            <w:r>
              <w:rPr>
                <w:rFonts w:ascii="Times New Roman" w:hAnsi="Times New Roman"/>
                <w:sz w:val="20"/>
              </w:rPr>
              <w:t>612 EUR</w:t>
            </w:r>
          </w:p>
        </w:tc>
      </w:tr>
      <w:tr>
        <w:tc>
          <w:tcPr>
            <w:tcW w:type="dxa" w:w="3024"/>
          </w:tcPr>
          <w:p>
            <w:r>
              <w:rPr>
                <w:rFonts w:ascii="Times New Roman" w:hAnsi="Times New Roman"/>
                <w:sz w:val="20"/>
              </w:rPr>
              <w:t>4 Personen</w:t>
            </w:r>
          </w:p>
        </w:tc>
        <w:tc>
          <w:tcPr>
            <w:tcW w:type="dxa" w:w="3024"/>
          </w:tcPr>
          <w:p>
            <w:r>
              <w:rPr>
                <w:rFonts w:ascii="Times New Roman" w:hAnsi="Times New Roman"/>
                <w:sz w:val="20"/>
              </w:rPr>
              <w:t>85</w:t>
            </w:r>
          </w:p>
        </w:tc>
        <w:tc>
          <w:tcPr>
            <w:tcW w:type="dxa" w:w="3024"/>
          </w:tcPr>
          <w:p>
            <w:r>
              <w:rPr>
                <w:rFonts w:ascii="Times New Roman" w:hAnsi="Times New Roman"/>
                <w:sz w:val="20"/>
              </w:rPr>
              <w:t>715 EUR</w:t>
            </w:r>
          </w:p>
        </w:tc>
      </w:tr>
    </w:tbl>
    <w:p>
      <w:pPr>
        <w:jc w:val="left"/>
      </w:pPr>
      <w:r>
        <w:t>Aus der Tabelle "Angemessene Heizkosten" (nach bundesweitem Heizkostenspiegel 2024, mittlerer Wert für Erdgas in Mehrfamilienhaus mittlerer Größe):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Wohnfläche</w:t>
            </w:r>
          </w:p>
        </w:tc>
        <w:tc>
          <w:tcPr>
            <w:tcW w:type="dxa" w:w="3024"/>
          </w:tcPr>
          <w:p>
            <w:r>
              <w:rPr>
                <w:rFonts w:ascii="Times New Roman" w:hAnsi="Times New Roman"/>
                <w:b/>
                <w:sz w:val="20"/>
              </w:rPr>
              <w:t>Jahreswert</w:t>
            </w:r>
          </w:p>
        </w:tc>
        <w:tc>
          <w:tcPr>
            <w:tcW w:type="dxa" w:w="3024"/>
          </w:tcPr>
          <w:p>
            <w:r>
              <w:rPr>
                <w:rFonts w:ascii="Times New Roman" w:hAnsi="Times New Roman"/>
                <w:b/>
                <w:sz w:val="20"/>
              </w:rPr>
              <w:t>Monatsdurchschnitt</w:t>
            </w:r>
          </w:p>
        </w:tc>
      </w:tr>
      <w:tr>
        <w:tc>
          <w:tcPr>
            <w:tcW w:type="dxa" w:w="3024"/>
          </w:tcPr>
          <w:p>
            <w:r>
              <w:rPr>
                <w:rFonts w:ascii="Times New Roman" w:hAnsi="Times New Roman"/>
                <w:sz w:val="20"/>
              </w:rPr>
              <w:t>bis 60 m²</w:t>
            </w:r>
          </w:p>
        </w:tc>
        <w:tc>
          <w:tcPr>
            <w:tcW w:type="dxa" w:w="3024"/>
          </w:tcPr>
          <w:p>
            <w:r>
              <w:rPr>
                <w:rFonts w:ascii="Times New Roman" w:hAnsi="Times New Roman"/>
                <w:sz w:val="20"/>
              </w:rPr>
              <w:t>bis 1.038 EUR</w:t>
            </w:r>
          </w:p>
        </w:tc>
        <w:tc>
          <w:tcPr>
            <w:tcW w:type="dxa" w:w="3024"/>
          </w:tcPr>
          <w:p>
            <w:r>
              <w:rPr>
                <w:rFonts w:ascii="Times New Roman" w:hAnsi="Times New Roman"/>
                <w:sz w:val="20"/>
              </w:rPr>
              <w:t>bis 86,50 EUR</w:t>
            </w:r>
          </w:p>
        </w:tc>
      </w:tr>
      <w:tr>
        <w:tc>
          <w:tcPr>
            <w:tcW w:type="dxa" w:w="3024"/>
          </w:tcPr>
          <w:p>
            <w:r>
              <w:rPr>
                <w:rFonts w:ascii="Times New Roman" w:hAnsi="Times New Roman"/>
                <w:sz w:val="20"/>
              </w:rPr>
              <w:t>bis 75 m²</w:t>
            </w:r>
          </w:p>
        </w:tc>
        <w:tc>
          <w:tcPr>
            <w:tcW w:type="dxa" w:w="3024"/>
          </w:tcPr>
          <w:p>
            <w:r>
              <w:rPr>
                <w:rFonts w:ascii="Times New Roman" w:hAnsi="Times New Roman"/>
                <w:sz w:val="20"/>
              </w:rPr>
              <w:t>bis 1.298 EUR</w:t>
            </w:r>
          </w:p>
        </w:tc>
        <w:tc>
          <w:tcPr>
            <w:tcW w:type="dxa" w:w="3024"/>
          </w:tcPr>
          <w:p>
            <w:r>
              <w:rPr>
                <w:rFonts w:ascii="Times New Roman" w:hAnsi="Times New Roman"/>
                <w:sz w:val="20"/>
              </w:rPr>
              <w:t>bis 108,17 EUR</w:t>
            </w:r>
          </w:p>
        </w:tc>
      </w:tr>
    </w:tbl>
    <w:p>
      <w:pPr>
        <w:jc w:val="left"/>
      </w:pPr>
      <w:r>
        <w:t>Frau Reuter rechnet:</w:t>
      </w:r>
    </w:p>
    <w:p>
      <w:pPr>
        <w:pStyle w:val="ListBullet"/>
      </w:pPr>
      <w:r>
        <w:t>2 Personen, 58,4 m² Wohnfläche</w:t>
      </w:r>
    </w:p>
    <w:p>
      <w:pPr>
        <w:pStyle w:val="ListBullet"/>
      </w:pPr>
      <w:r>
        <w:t>nach KdU-Konzept: 487 EUR bruttokalt + 86,50 EUR Heizung = 573,50 EUR angemessen</w:t>
      </w:r>
    </w:p>
    <w:p>
      <w:pPr>
        <w:pStyle w:val="ListBullet"/>
      </w:pPr>
      <w:r>
        <w:t>Jobcenter berücksichtigt ab Juni 2026 612 EUR — also 38,50 EUR über dem Tabellenwert</w:t>
      </w:r>
    </w:p>
    <w:p>
      <w:pPr>
        <w:pStyle w:val="ListBullet"/>
      </w:pPr>
      <w:r>
        <w:t>Ihre tatsächlichen Kosten: 690 EUR (550 EUR bruttokalt + 140 EUR Heizung-Vorauszahlung)</w:t>
      </w:r>
    </w:p>
    <w:p>
      <w:pPr>
        <w:jc w:val="left"/>
      </w:pPr>
      <w:r>
        <w:t>Frage Frau Reuter: "Warum sagt das Jobcenter, sie zahlen ab Juni nur noch 612 EUR? Im KdU-Konzept stehen 487 EUR plus 86,50 EUR. Wenn das Jobcenter mit 612 EUR rechnet, ist das schon eine 'Großzügigkeit' gegenüber dem eigenen Konzept — oder rechnen sie die Heizung anders?"</w:t>
      </w:r>
    </w:p>
    <w:p>
      <w:pPr>
        <w:jc w:val="left"/>
      </w:pPr>
      <w:r>
        <w:t>Hinweis Frau Reuter: das KdU-Konzept gibt es nur als PDF im Internet. Sie hat es ausgedruckt (12 Seiten). Eine offizielle Version wurde dem Bescheid nicht beigelegt.</w:t>
      </w:r>
    </w:p>
    <w:p>
      <w:pPr>
        <w:pStyle w:val="Heading2"/>
      </w:pPr>
      <w:r>
        <w:rPr>
          <w:rFonts w:ascii="Times New Roman" w:hAnsi="Times New Roman"/>
        </w:rPr>
        <w:t>Internet-Recherche Frau Reuter (typische Selbstvertreter-Verwirrung)</w:t>
      </w:r>
    </w:p>
    <w:p>
      <w:pPr>
        <w:jc w:val="left"/>
      </w:pPr>
      <w:r>
        <w:t>Frau Reuter hat zwischen 23. Mai und 27. Mai 2026 recherchiert. Notizen handschriftlich, Screenshots gespeichert. Die Recherche enthält Treffer aus unterschiedlichen Quellen mit widersprüchlichen und teilweise unzutreffenden Aussagen. Frau Reuter hat bei keinem Treffer die Originalquelle vollständig geprüft.</w:t>
      </w:r>
    </w:p>
    <w:p>
      <w:pPr>
        <w:jc w:val="left"/>
      </w:pPr>
      <w:r>
        <w:rPr>
          <w:b/>
        </w:rPr>
        <w:t>1. Hartz-IV-Ratgeber-Forum</w:t>
      </w:r>
    </w:p>
    <w:p>
      <w:pPr>
        <w:ind w:left="567"/>
      </w:pPr>
      <w:r>
        <w:rPr>
          <w:i/>
        </w:rPr>
        <w:t>"Bei einer Heizkostennachzahlung müssen die Kosten der Unterkunft im Monat der Fälligkeit übernommen werden."</w:t>
      </w:r>
    </w:p>
    <w:p>
      <w:pPr>
        <w:jc w:val="left"/>
      </w:pPr>
      <w:r>
        <w:t>Notiz: Klingt nach BSG-Urteil. Wenn ja: warum lehnt das Jobcenter dann ab?</w:t>
      </w:r>
    </w:p>
    <w:p>
      <w:pPr>
        <w:jc w:val="left"/>
      </w:pPr>
      <w:r>
        <w:rPr>
          <w:b/>
        </w:rPr>
        <w:t>2. Sozialverband-Webseite</w:t>
      </w:r>
    </w:p>
    <w:p>
      <w:pPr>
        <w:ind w:left="567"/>
      </w:pPr>
      <w:r>
        <w:rPr>
          <w:i/>
        </w:rPr>
        <w:t>"Eine Übernahme der tatsächlichen Heizkosten ist Pflicht, soweit sie nicht unangemessen sind. Die Unangemessenheit muss das Jobcenter konkret und nachvollziehbar darlegen."</w:t>
      </w:r>
    </w:p>
    <w:p>
      <w:pPr>
        <w:jc w:val="left"/>
      </w:pPr>
      <w:r>
        <w:t>Notiz: Das Jobcenter beruft sich nur pauschal auf den bundesweiten Heizkostenspiegel.</w:t>
      </w:r>
    </w:p>
    <w:p>
      <w:pPr>
        <w:jc w:val="left"/>
      </w:pPr>
      <w:r>
        <w:rPr>
          <w:b/>
        </w:rPr>
        <w:t>3. Anwalt-Werbeseite</w:t>
      </w:r>
    </w:p>
    <w:p>
      <w:pPr>
        <w:ind w:left="567"/>
      </w:pPr>
      <w:r>
        <w:rPr>
          <w:i/>
        </w:rPr>
        <w:t>"Eilantrag beim Sozialgericht ist meist erfolgreich, wenn die Wohnung gekündigt wurde."</w:t>
      </w:r>
    </w:p>
    <w:p>
      <w:pPr>
        <w:jc w:val="left"/>
      </w:pPr>
      <w:r>
        <w:t>Notiz: Wohnung noch nicht gekündigt, aber bedroht. Reicht das?</w:t>
      </w:r>
    </w:p>
    <w:p>
      <w:pPr>
        <w:jc w:val="left"/>
      </w:pPr>
      <w:r>
        <w:t>4. Wikipedia-Artikel zu Paragraf 86b SGG</w:t>
      </w:r>
    </w:p>
    <w:p>
      <w:pPr>
        <w:ind w:left="567"/>
      </w:pPr>
      <w:r>
        <w:t>"Voraussetzung der einstweiligen Anordnung sind Anordnungsanspruch und Anordnungsgrund. Beides muss glaubhaft gemacht werden (Paragraf 920 Abs. 2 ZPO i. V. m. Paragraf 86b Abs. 2 Satz 4 SGG)."</w:t>
      </w:r>
    </w:p>
    <w:p>
      <w:pPr>
        <w:jc w:val="left"/>
      </w:pPr>
      <w:r>
        <w:t>Notiz: Glaubhaft machen heißt was genau? Eidesstattliche Versicherung?</w:t>
      </w:r>
    </w:p>
    <w:p>
      <w:pPr>
        <w:jc w:val="left"/>
      </w:pPr>
      <w:r>
        <w:rPr>
          <w:b/>
        </w:rPr>
        <w:t>5. BSG-Urteil zitiert auf einer Anwaltsseite</w:t>
      </w:r>
    </w:p>
    <w:p>
      <w:pPr>
        <w:ind w:left="567"/>
      </w:pPr>
      <w:r>
        <w:rPr>
          <w:i/>
        </w:rPr>
        <w:t>"Eine Begründung der Unangemessenheit unter pauschalem Verweis auf den bundesweiten Heizkostenspiegel ohne Berücksichtigung der individuellen Wohnsituation und gesundheitlicher Besonderheiten ist unzureichend."</w:t>
      </w:r>
    </w:p>
    <w:p>
      <w:pPr>
        <w:jc w:val="left"/>
      </w:pPr>
      <w:r>
        <w:t>Notiz: Klingt sehr passend zu meinem Fall. Aber das Urteil ist von 2014. Gilt das noch?</w:t>
      </w:r>
    </w:p>
    <w:p>
      <w:pPr>
        <w:jc w:val="left"/>
      </w:pPr>
      <w:r>
        <w:rPr>
          <w:b/>
        </w:rPr>
        <w:t>6. Ratgeber zur Zustellfiktion</w:t>
      </w:r>
    </w:p>
    <w:p>
      <w:pPr>
        <w:ind w:left="567"/>
      </w:pPr>
      <w:r>
        <w:rPr>
          <w:i/>
        </w:rPr>
        <w:t>"Wer den Zugang eines Bescheides bestreitet, muss substantiierte Anhaltspunkte vortragen, dass der Bescheid nicht zugegangen ist. Ein bloßes Bestreiten reicht nicht."</w:t>
      </w:r>
    </w:p>
    <w:p>
      <w:pPr>
        <w:jc w:val="left"/>
      </w:pPr>
      <w:r>
        <w:t>Notiz: Wie beweise ich, dass ich einen Brief nicht bekommen habe? Krankenhausunterlagen meines Vaters habe ich.</w:t>
      </w:r>
    </w:p>
    <w:p>
      <w:pPr>
        <w:jc w:val="left"/>
      </w:pPr>
      <w:r>
        <w:rPr>
          <w:b/>
        </w:rPr>
        <w:t>7. Internetportal "Klage selbst einreichen"</w:t>
      </w:r>
    </w:p>
    <w:p>
      <w:pPr>
        <w:ind w:left="567"/>
      </w:pPr>
      <w:r>
        <w:rPr>
          <w:i/>
        </w:rPr>
        <w:t>"Klage beim Sozialgericht ist kostenfrei. Anwaltszwang besteht nicht. Eine Klage kann auch zur Niederschrift bei der Rechtsantragstelle erhoben werden."</w:t>
      </w:r>
    </w:p>
    <w:p>
      <w:pPr>
        <w:jc w:val="left"/>
      </w:pPr>
      <w:r>
        <w:t>Notiz: Rechtsantragstelle Sozialgericht Leipzig — habe Termin am 9. Juni 2026, 10:30 Uhr.</w:t>
      </w:r>
    </w:p>
    <w:p>
      <w:pPr>
        <w:jc w:val="left"/>
      </w:pPr>
      <w:r>
        <w:rPr>
          <w:b/>
        </w:rPr>
        <w:t>8. Forum-Beitrag</w:t>
      </w:r>
    </w:p>
    <w:p>
      <w:pPr>
        <w:ind w:left="567"/>
      </w:pPr>
      <w:r>
        <w:rPr>
          <w:i/>
        </w:rPr>
        <w:t>"Beim Eilantrag muss man die einstweilige Anordnung beantragen und gleichzeitig Klage in der Hauptsache erheben. Sonst weist das Gericht den Eilantrag als unzulässig zurück."</w:t>
      </w:r>
    </w:p>
    <w:p>
      <w:pPr>
        <w:jc w:val="left"/>
      </w:pPr>
      <w:r>
        <w:t>Notiz: Verstehe ich nicht ganz. Ist Hauptsacheklage zwingend Voraussetzung für Eilantrag?</w:t>
      </w:r>
    </w:p>
    <w:p>
      <w:pPr>
        <w:jc w:val="left"/>
      </w:pPr>
      <w:r>
        <w:rPr>
          <w:b/>
        </w:rPr>
        <w:t>9. Tweet eines Sozialrichters (Screenshot)</w:t>
      </w:r>
    </w:p>
    <w:p>
      <w:pPr>
        <w:ind w:left="567"/>
      </w:pPr>
      <w:r>
        <w:rPr>
          <w:i/>
        </w:rPr>
        <w:t>"Eilanträge wegen Heizkostennachzahlungen sind regelmäßig dann begründet, wenn eine fristlose Kündigung der Wohnung konkret droht und keine zumutbare Alternative besteht. Pauschal vorgetragener Eilbedarf wird abgelehnt."</w:t>
      </w:r>
    </w:p>
    <w:p>
      <w:pPr>
        <w:jc w:val="left"/>
      </w:pPr>
      <w:r>
        <w:t>Notiz: Was heißt konkret? Reicht die Mahnung der Hausverwaltung mit Kündigungsandrohung?</w:t>
      </w:r>
    </w:p>
    <w:p>
      <w:pPr>
        <w:jc w:val="left"/>
      </w:pPr>
      <w:r>
        <w:rPr>
          <w:b/>
        </w:rPr>
        <w:t>10. PKH-Rechner</w:t>
      </w:r>
    </w:p>
    <w:p>
      <w:pPr>
        <w:ind w:left="567"/>
      </w:pPr>
      <w:r>
        <w:rPr>
          <w:i/>
        </w:rPr>
        <w:t>"Beim Sozialgericht ist Prozesskostenhilfe nur bei Anwaltsbeauftragung relevant, weil keine Gerichtskosten anfallen."</w:t>
      </w:r>
    </w:p>
    <w:p>
      <w:pPr>
        <w:jc w:val="left"/>
      </w:pPr>
      <w:r>
        <w:t>Notiz: Wenn ich keinen Anwalt nehme, brauche ich keine PKH?</w:t>
      </w:r>
    </w:p>
    <w:p>
      <w:pPr>
        <w:pStyle w:val="Heading2"/>
      </w:pPr>
      <w:r>
        <w:rPr>
          <w:rFonts w:ascii="Times New Roman" w:hAnsi="Times New Roman"/>
        </w:rPr>
        <w:t>Eigene Fragen, die sich aus der Recherche ergeben</w:t>
      </w:r>
    </w:p>
    <w:p>
      <w:pPr>
        <w:pStyle w:val="ListBullet"/>
      </w:pPr>
      <w:r>
        <w:t>Muss ich vor dem Eilantrag erst auf die Kündigung warten, oder reicht die Kündigungsandrohung?</w:t>
      </w:r>
    </w:p>
    <w:p>
      <w:pPr>
        <w:pStyle w:val="ListBullet"/>
      </w:pPr>
      <w:r>
        <w:t>Reicht eidesstattliche Versicherung zur Glaubhaftmachung, oder brauche ich mehr?</w:t>
      </w:r>
    </w:p>
    <w:p>
      <w:pPr>
        <w:pStyle w:val="ListBullet"/>
      </w:pPr>
      <w:r>
        <w:t>Ist die Hauptsacheklage Voraussetzung für den Eilantrag?</w:t>
      </w:r>
    </w:p>
    <w:p>
      <w:pPr>
        <w:pStyle w:val="ListBullet"/>
      </w:pPr>
      <w:r>
        <w:t>Kann ich das BSG-Urteil aus 2014 zitieren oder gibt es neueres?</w:t>
      </w:r>
    </w:p>
    <w:p>
      <w:pPr>
        <w:pStyle w:val="ListBullet"/>
      </w:pPr>
      <w:r>
        <w:t>Kann ich den Nichterhalt der Kostensenkungsaufforderung mit den Krankenhausunterlagen meines Vaters glaubhaft machen?</w:t>
      </w:r>
    </w:p>
    <w:p>
      <w:pPr>
        <w:pStyle w:val="ListBullet"/>
      </w:pPr>
      <w:r>
        <w:t>Brauche ich PKH, wenn ich keinen Anwalt nehme?</w:t>
      </w:r>
    </w:p>
    <w:p>
      <w:pPr>
        <w:pStyle w:val="ListBullet"/>
      </w:pPr>
      <w:r>
        <w:t>Soll ich die Klage besser persönlich zur Niederschrift bei der Rechtsantragstelle einreichen, oder lieber schriftlich?</w:t>
      </w:r>
    </w:p>
    <w:p>
      <w:pPr>
        <w:pStyle w:val="Heading2"/>
      </w:pPr>
      <w:r>
        <w:t>Notiz für die Rechtsantragstelle</w:t>
      </w:r>
    </w:p>
    <w:p>
      <w:pPr>
        <w:ind w:left="567"/>
      </w:pPr>
      <w:r>
        <w:rPr>
          <w:i/>
        </w:rPr>
        <w:t>"Bitte sortiere die Treffer nach 'stimmt aktuell', 'stimmt teilweise', 'stimmt nicht', und sag mir nach Möglichkeit, welche Norm jeweils einschlägig ist. Bitte gib mir auch eine Liste der zwei bis drei stärksten Argumente für meinen Eilantrag, mit Norm und ggf. einem aktuellen BSG-Urteil."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