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Ärztliche Verordnung, vollständig ausformuliert</w:t>
      </w:r>
    </w:p>
    <w:p>
      <w:r>
        <w:rPr>
          <w:rFonts w:ascii="Times New Roman" w:hAnsi="Times New Roman"/>
          <w:b/>
          <w:i w:val="0"/>
          <w:sz w:val="22"/>
        </w:rPr>
        <w:t>Hausarztpraxis Dr. Ferdinand Stahlmann</w:t>
      </w:r>
    </w:p>
    <w:p>
      <w:r>
        <w:rPr>
          <w:rFonts w:ascii="Times New Roman" w:hAnsi="Times New Roman"/>
          <w:b w:val="0"/>
          <w:i w:val="0"/>
          <w:sz w:val="22"/>
        </w:rPr>
        <w:t>Donnerschweer Straße 44, 26123 Oldenburg</w:t>
      </w:r>
    </w:p>
    <w:p/>
    <w:p>
      <w:r>
        <w:rPr>
          <w:rFonts w:ascii="Times New Roman" w:hAnsi="Times New Roman"/>
          <w:b w:val="0"/>
          <w:i w:val="0"/>
          <w:sz w:val="22"/>
        </w:rPr>
        <w:t>Verordnung vom 16.05.2026 für Herrn Heinz Körner, geboren 03.02.1948, wohnhaft Donnerschweer Straße 112, 26123 Oldenburg.</w:t>
      </w:r>
    </w:p>
    <w:p>
      <w:pPr>
        <w:pStyle w:val="Heading2"/>
      </w:pPr>
      <w:r>
        <w:t>1. Diagnosen nach ICD-10</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Times New Roman" w:hAnsi="Times New Roman"/>
                <w:b/>
                <w:sz w:val="20"/>
              </w:rPr>
              <w:t>ICD-10</w:t>
            </w:r>
          </w:p>
        </w:tc>
        <w:tc>
          <w:tcPr>
            <w:tcW w:type="dxa" w:w="4320"/>
          </w:tcPr>
          <w:p>
            <w:r/>
            <w:r>
              <w:rPr>
                <w:rFonts w:ascii="Times New Roman" w:hAnsi="Times New Roman"/>
                <w:b/>
                <w:sz w:val="20"/>
              </w:rPr>
              <w:t>Diagnose</w:t>
            </w:r>
          </w:p>
        </w:tc>
      </w:tr>
      <w:tr>
        <w:tc>
          <w:tcPr>
            <w:tcW w:type="dxa" w:w="4320"/>
          </w:tcPr>
          <w:p>
            <w:r/>
            <w:r>
              <w:rPr>
                <w:rFonts w:ascii="Times New Roman" w:hAnsi="Times New Roman"/>
                <w:sz w:val="20"/>
              </w:rPr>
              <w:t>M48.06</w:t>
            </w:r>
          </w:p>
        </w:tc>
        <w:tc>
          <w:tcPr>
            <w:tcW w:type="dxa" w:w="4320"/>
          </w:tcPr>
          <w:p>
            <w:r/>
            <w:r>
              <w:rPr>
                <w:rFonts w:ascii="Times New Roman" w:hAnsi="Times New Roman"/>
                <w:sz w:val="20"/>
              </w:rPr>
              <w:t>Spinalkanalstenose, Lumbalbereich</w:t>
            </w:r>
          </w:p>
        </w:tc>
      </w:tr>
      <w:tr>
        <w:tc>
          <w:tcPr>
            <w:tcW w:type="dxa" w:w="4320"/>
          </w:tcPr>
          <w:p>
            <w:r/>
            <w:r>
              <w:rPr>
                <w:rFonts w:ascii="Times New Roman" w:hAnsi="Times New Roman"/>
                <w:sz w:val="20"/>
              </w:rPr>
              <w:t>G63.2</w:t>
            </w:r>
          </w:p>
        </w:tc>
        <w:tc>
          <w:tcPr>
            <w:tcW w:type="dxa" w:w="4320"/>
          </w:tcPr>
          <w:p>
            <w:r/>
            <w:r>
              <w:rPr>
                <w:rFonts w:ascii="Times New Roman" w:hAnsi="Times New Roman"/>
                <w:sz w:val="20"/>
              </w:rPr>
              <w:t>Diabetische Polyneuropathie</w:t>
            </w:r>
          </w:p>
        </w:tc>
      </w:tr>
      <w:tr>
        <w:tc>
          <w:tcPr>
            <w:tcW w:type="dxa" w:w="4320"/>
          </w:tcPr>
          <w:p>
            <w:r/>
            <w:r>
              <w:rPr>
                <w:rFonts w:ascii="Times New Roman" w:hAnsi="Times New Roman"/>
                <w:sz w:val="20"/>
              </w:rPr>
              <w:t>Z96.641</w:t>
            </w:r>
          </w:p>
        </w:tc>
        <w:tc>
          <w:tcPr>
            <w:tcW w:type="dxa" w:w="4320"/>
          </w:tcPr>
          <w:p>
            <w:r/>
            <w:r>
              <w:rPr>
                <w:rFonts w:ascii="Times New Roman" w:hAnsi="Times New Roman"/>
                <w:sz w:val="20"/>
              </w:rPr>
              <w:t>Zustand nach Hüft-Totalendoprothese links</w:t>
            </w:r>
          </w:p>
        </w:tc>
      </w:tr>
      <w:tr>
        <w:tc>
          <w:tcPr>
            <w:tcW w:type="dxa" w:w="4320"/>
          </w:tcPr>
          <w:p>
            <w:r/>
            <w:r>
              <w:rPr>
                <w:rFonts w:ascii="Times New Roman" w:hAnsi="Times New Roman"/>
                <w:sz w:val="20"/>
              </w:rPr>
              <w:t>R26.81</w:t>
            </w:r>
          </w:p>
        </w:tc>
        <w:tc>
          <w:tcPr>
            <w:tcW w:type="dxa" w:w="4320"/>
          </w:tcPr>
          <w:p>
            <w:r/>
            <w:r>
              <w:rPr>
                <w:rFonts w:ascii="Times New Roman" w:hAnsi="Times New Roman"/>
                <w:sz w:val="20"/>
              </w:rPr>
              <w:t>Gangunsicherheit</w:t>
            </w:r>
          </w:p>
        </w:tc>
      </w:tr>
      <w:tr>
        <w:tc>
          <w:tcPr>
            <w:tcW w:type="dxa" w:w="4320"/>
          </w:tcPr>
          <w:p>
            <w:r/>
            <w:r>
              <w:rPr>
                <w:rFonts w:ascii="Times New Roman" w:hAnsi="Times New Roman"/>
                <w:sz w:val="20"/>
              </w:rPr>
              <w:t>E11.90</w:t>
            </w:r>
          </w:p>
        </w:tc>
        <w:tc>
          <w:tcPr>
            <w:tcW w:type="dxa" w:w="4320"/>
          </w:tcPr>
          <w:p>
            <w:r/>
            <w:r>
              <w:rPr>
                <w:rFonts w:ascii="Times New Roman" w:hAnsi="Times New Roman"/>
                <w:sz w:val="20"/>
              </w:rPr>
              <w:t>Diabetes mellitus Typ 2 ohne Komplikationen, entgleist mit Folgeschäden anderenorts kodiert</w:t>
            </w:r>
          </w:p>
        </w:tc>
      </w:tr>
    </w:tbl>
    <w:p/>
    <w:p>
      <w:pPr>
        <w:pStyle w:val="Heading2"/>
      </w:pPr>
      <w:r>
        <w:t>2. Verordnete Hilfsmittelversorgung</w:t>
      </w:r>
    </w:p>
    <w:p>
      <w:r>
        <w:rPr>
          <w:rFonts w:ascii="Times New Roman" w:hAnsi="Times New Roman"/>
          <w:b w:val="0"/>
          <w:i w:val="0"/>
          <w:sz w:val="22"/>
        </w:rPr>
        <w:t>Verordnet wird ein Elektrorollstuhl, kompakte Innenraum- und Nahbereichsausführung, mit Kippschutz, gedrosselter Geschwindigkeit und Fahrtraining. Hilfsmittelnummer nach Produktgruppe 18 des Hilfsmittelverzeichnisses.</w:t>
      </w:r>
    </w:p>
    <w:p>
      <w:pPr>
        <w:pStyle w:val="Heading2"/>
      </w:pPr>
      <w:r>
        <w:t>3. Begründung des Mobilitätsverlusts</w:t>
      </w:r>
    </w:p>
    <w:p>
      <w:r>
        <w:rPr>
          <w:rFonts w:ascii="Times New Roman" w:hAnsi="Times New Roman"/>
          <w:b w:val="0"/>
          <w:i w:val="0"/>
          <w:sz w:val="22"/>
        </w:rPr>
        <w:t>Herr Körner kann im Innenbereich nur wenige Schritte mit Unterarmgehstütze zurücklegen, danach droht Sturzgefahr durch die diabetische Polyneuropathie mit vermindertem Gefühl in beiden Füßen. Der Rollator bietet auf ebener Strecke im Hausflur begrenzte Sicherheit, ist aber auf dem unebenen Gehweg vor dem Haus und beim Überqueren der Bordsteinkante nicht ausreichend sicher nutzbar. Ein manueller Rollstuhl kann von Herrn Körner wegen eingeschränkter Schulterkraft nach der Hüftoperation nicht selbstständig angetrieben werden.</w:t>
      </w:r>
    </w:p>
    <w:p>
      <w:pPr>
        <w:pStyle w:val="Heading2"/>
      </w:pPr>
      <w:r>
        <w:t>4. Behandlungsziel</w:t>
      </w:r>
    </w:p>
    <w:p>
      <w:r>
        <w:rPr>
          <w:rFonts w:ascii="Times New Roman" w:hAnsi="Times New Roman"/>
          <w:b w:val="0"/>
          <w:i w:val="0"/>
          <w:sz w:val="22"/>
        </w:rPr>
        <w:t>Ziel der Versorgung ist die Wiederherstellung einer selbstständigen Mobilität im Nahbereich der Wohnung, insbesondere für Arztbesuche, Apothekenwege und den Weg zum Briefkasten, ohne durchgehende Angewiesenheit auf eine Begleitperson.</w:t>
      </w:r>
    </w:p>
    <w:p>
      <w:pPr>
        <w:pStyle w:val="Heading2"/>
      </w:pPr>
      <w:r>
        <w:t>5. Dringlichkeit</w:t>
      </w:r>
    </w:p>
    <w:p>
      <w:r>
        <w:rPr>
          <w:rFonts w:ascii="Times New Roman" w:hAnsi="Times New Roman"/>
          <w:b w:val="0"/>
          <w:i w:val="0"/>
          <w:sz w:val="22"/>
        </w:rPr>
        <w:t>Angesichts wiederholter Stürze in den letzten zwölf Monaten und der zunehmenden sozialen Isolation wird eine zeitnahe Bearbeitung des Antrags dringend angeraten.</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