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Ergotherapeutischer Bericht</w:t>
      </w:r>
    </w:p>
    <w:p>
      <w:r>
        <w:rPr>
          <w:rFonts w:ascii="Times New Roman" w:hAnsi="Times New Roman"/>
          <w:b/>
          <w:i w:val="0"/>
          <w:sz w:val="22"/>
        </w:rPr>
        <w:t>Ergotherapie Nordwest</w:t>
      </w:r>
    </w:p>
    <w:p>
      <w:r>
        <w:rPr>
          <w:rFonts w:ascii="Times New Roman" w:hAnsi="Times New Roman"/>
          <w:b w:val="0"/>
          <w:i w:val="0"/>
          <w:sz w:val="22"/>
        </w:rPr>
        <w:t>Praxis für Ergotherapie, Melanie Bruns</w:t>
      </w:r>
    </w:p>
    <w:p>
      <w:r>
        <w:rPr>
          <w:rFonts w:ascii="Times New Roman" w:hAnsi="Times New Roman"/>
          <w:b w:val="0"/>
          <w:i w:val="0"/>
          <w:sz w:val="22"/>
        </w:rPr>
        <w:t>Nadorster Straße 60, 26123 Oldenburg</w:t>
      </w:r>
    </w:p>
    <w:p/>
    <w:p>
      <w:pPr>
        <w:pStyle w:val="Heading2"/>
      </w:pPr>
      <w:r>
        <w:t>1. Behandlungsauftrag</w:t>
      </w:r>
    </w:p>
    <w:p>
      <w:r>
        <w:rPr>
          <w:rFonts w:ascii="Times New Roman" w:hAnsi="Times New Roman"/>
          <w:b w:val="0"/>
          <w:i w:val="0"/>
          <w:sz w:val="22"/>
        </w:rPr>
        <w:t>Ergotherapeutische Befunderhebung im Auftrag des Hausarztes zur Beurteilung der Alltagskompetenz und Handlungsfähigkeit von Herrn Heinz Körner, Behandlung vom 20.05.2026 bis 03.06.2026, insgesamt vier Termine.</w:t>
      </w:r>
    </w:p>
    <w:p>
      <w:pPr>
        <w:pStyle w:val="Heading2"/>
      </w:pPr>
      <w:r>
        <w:t>2. Befunderhebung Alltagsaktivitäten</w:t>
      </w:r>
    </w:p>
    <w:p>
      <w:r>
        <w:rPr>
          <w:rFonts w:ascii="Times New Roman" w:hAnsi="Times New Roman"/>
          <w:b w:val="0"/>
          <w:i w:val="0"/>
          <w:sz w:val="22"/>
        </w:rPr>
        <w:t>Transfer Bett zu Rollstuhl gelingt mit Anleitung und Haltegriff, benötigt jedoch mehr Zeit als altersüblich. Greiffunktion beider Hände eingeschränkt durch verminderte Sensibilität, feinmotorische Aufgaben wie das Bedienen eines Schlüssels gelingen verlangsamt.</w:t>
      </w:r>
    </w:p>
    <w:p>
      <w:pPr>
        <w:pStyle w:val="Heading2"/>
      </w:pPr>
      <w:r>
        <w:t>3. Beobachtung im hauslichen Umfeld</w:t>
      </w:r>
    </w:p>
    <w:p>
      <w:r>
        <w:rPr>
          <w:rFonts w:ascii="Times New Roman" w:hAnsi="Times New Roman"/>
          <w:b w:val="0"/>
          <w:i w:val="0"/>
          <w:sz w:val="22"/>
        </w:rPr>
        <w:t>Beim Hausbesuch am 27.05.2026 zeigte sich, dass Herr Körner die Wohnungstür nur mit Mühe selbstständig öffnen kann, wenn er sich gleichzeitig am Rollator festhalten muss. Die Küchenarbeitsfläche ist im Stehen nur kurzzeitig nutzbar.</w:t>
      </w:r>
    </w:p>
    <w:p>
      <w:pPr>
        <w:pStyle w:val="Heading2"/>
      </w:pPr>
      <w:r>
        <w:t>4. Einschätzung zur Hilfsmittelnutzung</w:t>
      </w:r>
    </w:p>
    <w:p>
      <w:r>
        <w:rPr>
          <w:rFonts w:ascii="Times New Roman" w:hAnsi="Times New Roman"/>
          <w:b w:val="0"/>
          <w:i w:val="0"/>
          <w:sz w:val="22"/>
        </w:rPr>
        <w:t>Ein Elektrorollstuhl würde die Hände für Greif- und Bedienaufgaben freihalten, während Gehstock und Rollator beide Hände zur Stabilisierung binden. Dies ist für die Verrichtung alltäglicher Handlungen wie Türöffnen, Briefkasten leeren oder Einkaufstasche tragen von Bedeutung.</w:t>
      </w:r>
    </w:p>
    <w:p>
      <w:pPr>
        <w:pStyle w:val="Heading2"/>
      </w:pPr>
      <w:r>
        <w:t>5. Empfehlung</w:t>
      </w:r>
    </w:p>
    <w:p>
      <w:r>
        <w:rPr>
          <w:rFonts w:ascii="Times New Roman" w:hAnsi="Times New Roman"/>
          <w:b w:val="0"/>
          <w:i w:val="0"/>
          <w:sz w:val="22"/>
        </w:rPr>
        <w:t>Aus ergotherapeutischer Sicht wird die Versorgung mit einem Elektrorollstuhl befürwortet, verbunden mit einem strukturierten Bedienungstraining über vier bis sechs Einheiten.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