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Klageerwiderung</w:t>
      </w:r>
    </w:p>
    <w:p>
      <w:r>
        <w:rPr>
          <w:rFonts w:ascii="Times New Roman" w:hAnsi="Times New Roman"/>
          <w:b/>
          <w:i w:val="0"/>
          <w:sz w:val="22"/>
        </w:rPr>
        <w:t>Weser-Ems Gesundheitskasse</w:t>
      </w:r>
    </w:p>
    <w:p>
      <w:r>
        <w:rPr>
          <w:rFonts w:ascii="Times New Roman" w:hAnsi="Times New Roman"/>
          <w:b w:val="0"/>
          <w:i w:val="0"/>
          <w:sz w:val="22"/>
        </w:rPr>
        <w:t>Krankenversicherung und Pflegeversicherung</w:t>
      </w:r>
    </w:p>
    <w:p>
      <w:r>
        <w:rPr>
          <w:rFonts w:ascii="Times New Roman" w:hAnsi="Times New Roman"/>
          <w:b w:val="0"/>
          <w:i w:val="0"/>
          <w:sz w:val="22"/>
        </w:rPr>
        <w:t>Leistungsabteilung Hilfsmittel</w:t>
      </w:r>
    </w:p>
    <w:p>
      <w:r>
        <w:rPr>
          <w:rFonts w:ascii="Times New Roman" w:hAnsi="Times New Roman"/>
          <w:b w:val="0"/>
          <w:i w:val="0"/>
          <w:sz w:val="22"/>
        </w:rPr>
        <w:t>Huntestraße 42, 26135 Oldenburg</w:t>
      </w:r>
    </w:p>
    <w:p>
      <w:r>
        <w:rPr>
          <w:rFonts w:ascii="Times New Roman" w:hAnsi="Times New Roman"/>
          <w:b w:val="0"/>
          <w:i w:val="0"/>
          <w:sz w:val="22"/>
        </w:rPr>
        <w:t>Telefon 0441 55 219-0, Telefax 0441 55 219-90</w:t>
      </w:r>
    </w:p>
    <w:p/>
    <w:p>
      <w:pPr>
        <w:jc w:val="right"/>
      </w:pPr>
      <w:r>
        <w:rPr>
          <w:rFonts w:ascii="Times New Roman" w:hAnsi="Times New Roman"/>
          <w:b w:val="0"/>
          <w:i w:val="0"/>
          <w:sz w:val="22"/>
        </w:rPr>
        <w:t>An das Sozialgericht Oldenburg</w:t>
      </w:r>
    </w:p>
    <w:p>
      <w:pPr>
        <w:jc w:val="right"/>
      </w:pPr>
      <w:r>
        <w:rPr>
          <w:rFonts w:ascii="Times New Roman" w:hAnsi="Times New Roman"/>
          <w:b w:val="0"/>
          <w:i w:val="0"/>
          <w:sz w:val="22"/>
        </w:rPr>
        <w:t>Oldenburg, den 22.07.2026</w:t>
      </w:r>
    </w:p>
    <w:p/>
    <w:p>
      <w:r>
        <w:rPr>
          <w:rFonts w:ascii="Times New Roman" w:hAnsi="Times New Roman"/>
          <w:b w:val="0"/>
          <w:i w:val="0"/>
          <w:sz w:val="22"/>
        </w:rPr>
        <w:t>In dem Rechtsstreit Körner gegen Weser-Ems Gesundheitskasse, Aktenzeichen S 12 KR 188/26,</w:t>
      </w:r>
    </w:p>
    <w:p>
      <w:r>
        <w:rPr>
          <w:rFonts w:ascii="Times New Roman" w:hAnsi="Times New Roman"/>
          <w:b w:val="0"/>
          <w:i w:val="0"/>
          <w:sz w:val="22"/>
        </w:rPr>
        <w:t>wird beantragt:</w:t>
      </w:r>
    </w:p>
    <w:p>
      <w:r>
        <w:rPr>
          <w:rFonts w:ascii="Times New Roman" w:hAnsi="Times New Roman"/>
          <w:b w:val="0"/>
          <w:i w:val="0"/>
          <w:sz w:val="22"/>
        </w:rPr>
        <w:t>Die Klage wird abgewiesen.</w:t>
      </w:r>
    </w:p>
    <w:p>
      <w:pPr>
        <w:pStyle w:val="Heading2"/>
      </w:pPr>
      <w:r>
        <w:t>Begründung</w:t>
      </w:r>
    </w:p>
    <w:p>
      <w:r>
        <w:rPr>
          <w:rFonts w:ascii="Times New Roman" w:hAnsi="Times New Roman"/>
          <w:b w:val="0"/>
          <w:i w:val="0"/>
          <w:sz w:val="22"/>
        </w:rPr>
        <w:t>Die Klage ist unbegründet. Der Kläger hat keinen Anspruch auf Versorgung mit dem beantragten Elektrorollstuhl.</w:t>
      </w:r>
    </w:p>
    <w:p>
      <w:r>
        <w:rPr>
          <w:rFonts w:ascii="Times New Roman" w:hAnsi="Times New Roman"/>
          <w:b w:val="0"/>
          <w:i w:val="0"/>
          <w:sz w:val="22"/>
        </w:rPr>
        <w:t>Der Medizinische Dienst hat in seiner Stellungnahme vom 05.06.2026 nachvollziehbar dargelegt, dass der Kläger über eine hinreichende Restgehfähigkeit verfügt, um sich mit Unterarmgehstütze und Rollator im häuslichen Umfeld und auf kurzen ebenen Wegen zu bewegen. Für längere Strecken steht dem Kläger ein Standard-Faltrollstuhl zur Verfügung, der mit Unterstützung der Tochter genutzt werden kann.</w:t>
      </w:r>
    </w:p>
    <w:p>
      <w:r>
        <w:rPr>
          <w:rFonts w:ascii="Times New Roman" w:hAnsi="Times New Roman"/>
          <w:b w:val="0"/>
          <w:i w:val="0"/>
          <w:sz w:val="22"/>
        </w:rPr>
        <w:t>Die gesetzliche Krankenversicherung schuldet nach ständiger Rechtsprechung nur den Basisausgleich der Behinderung, nicht die Herstellung größtmöglicher Mobilität. Die Beklagte verweist hierzu auf die Entscheidung des Bundessozialgerichts B 3 KR 4/16 R, wonach der Ausgleich sich am Basisbedürfnis orientiert und nicht an einer vollständigen Gleichstellung mit der Mobilität eines Nichtbehinderten.</w:t>
      </w:r>
    </w:p>
    <w:p>
      <w:r>
        <w:rPr>
          <w:rFonts w:ascii="Times New Roman" w:hAnsi="Times New Roman"/>
          <w:b w:val="0"/>
          <w:i w:val="0"/>
          <w:sz w:val="22"/>
        </w:rPr>
        <w:t>Die Wohnsituation des Klägers, insbesondere die fehlende Barrierefreiheit des Altbaus und die Lage im ersten Obergeschoss, begründet für sich genommen keinen Anspruch gegen die Krankenversicherung. Bauliche Hindernisse und die fehlende ständige Verfügbarkeit einer Begleitperson fallen nicht in den Zuständigkeitsbereich der gesetzlichen Krankenversicherung.</w:t>
      </w:r>
    </w:p>
    <w:p>
      <w:r>
        <w:rPr>
          <w:rFonts w:ascii="Times New Roman" w:hAnsi="Times New Roman"/>
          <w:b w:val="0"/>
          <w:i w:val="0"/>
          <w:sz w:val="22"/>
        </w:rPr>
        <w:t>Die von Klägerseite angeführte Entscheidung B 3 KR 3/19 R ist nach Auffassung der Beklagten nicht auf den vorliegenden Fall übertragbar, da dort eine vollständige Rollstuhlpflichtigkeit ohne jede Restgehfähigkeit vorlag. Im vorliegenden Fall besteht demgegenüber eine relevante Restgehfähigkeit, die vom Kläger nicht hinreichend widerlegt wurde.</w:t>
      </w:r>
    </w:p>
    <w:p>
      <w:r>
        <w:rPr>
          <w:rFonts w:ascii="Times New Roman" w:hAnsi="Times New Roman"/>
          <w:b w:val="0"/>
          <w:i w:val="0"/>
          <w:sz w:val="22"/>
        </w:rPr>
        <w:t>Die Beklagte regt an, ein Gutachten zur tatsächlichen Gehfähigkeit und zur Eignung der vorhandenen Hilfsmittel einzuholen, bevor über die Notwendigkeit der begehrten elektrischen Versorgung entschieden wird.</w:t>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