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Patientin</w:t>
            </w:r>
          </w:p>
        </w:tc>
        <w:tc>
          <w:tcPr>
            <w:tcW w:type="dxa" w:w="3402"/>
            <w:vAlign w:val="center"/>
          </w:tcPr>
          <w:p>
            <w:r>
              <w:rPr>
                <w:rFonts w:ascii="Arial" w:hAnsi="Arial"/>
                <w:sz w:val="17"/>
              </w:rPr>
              <w:t>Samira Wehner</w:t>
            </w:r>
          </w:p>
        </w:tc>
      </w:tr>
      <w:tr>
        <w:tc>
          <w:tcPr>
            <w:tcW w:type="dxa" w:w="1984"/>
            <w:vAlign w:val="center"/>
          </w:tcPr>
          <w:p>
            <w:r>
              <w:rPr>
                <w:rFonts w:ascii="Arial" w:hAnsi="Arial"/>
                <w:b/>
                <w:sz w:val="17"/>
              </w:rPr>
              <w:t>Untersuchung</w:t>
            </w:r>
          </w:p>
        </w:tc>
        <w:tc>
          <w:tcPr>
            <w:tcW w:type="dxa" w:w="3402"/>
            <w:vAlign w:val="center"/>
          </w:tcPr>
          <w:p>
            <w:r>
              <w:rPr>
                <w:rFonts w:ascii="Arial" w:hAnsi="Arial"/>
                <w:sz w:val="17"/>
              </w:rPr>
              <w:t>22. Mai 2026</w:t>
            </w:r>
          </w:p>
        </w:tc>
      </w:tr>
      <w:tr>
        <w:tc>
          <w:tcPr>
            <w:tcW w:type="dxa" w:w="1984"/>
            <w:vAlign w:val="center"/>
          </w:tcPr>
          <w:p>
            <w:r>
              <w:rPr>
                <w:rFonts w:ascii="Arial" w:hAnsi="Arial"/>
                <w:b/>
                <w:sz w:val="17"/>
              </w:rPr>
              <w:t>Vorbefund</w:t>
            </w:r>
          </w:p>
        </w:tc>
        <w:tc>
          <w:tcPr>
            <w:tcW w:type="dxa" w:w="3402"/>
            <w:vAlign w:val="center"/>
          </w:tcPr>
          <w:p>
            <w:r>
              <w:rPr>
                <w:rFonts w:ascii="Arial" w:hAnsi="Arial"/>
                <w:sz w:val="17"/>
              </w:rPr>
              <w:t>Oktober 2025</w:t>
            </w:r>
          </w:p>
        </w:tc>
      </w:tr>
    </w:tbl>
    <w:p/>
    <w:p>
      <w:pPr>
        <w:pStyle w:val="Title"/>
      </w:pPr>
      <w:r>
        <w:t>Neuropädiatrischer Verlaufsbefund</w:t>
      </w:r>
    </w:p>
    <w:p>
      <w:r>
        <w:t>Samira stellte sich mit ihren Eltern wegen zunehmender Erschöpfung, feinmotorischer Schwierigkeiten und unsicherem Gang vor. Seit März beendet sie Schultage häufiger vorzeitig; im Haushalt benötigt sie bei Treppen und längeren Wegen Begleitung.</w:t>
      </w:r>
    </w:p>
    <w:p>
      <w:r>
        <w:t>Der Nine-Hole-Peg-Test rechts betrug 34,8 Sekunden gegenüber 26,1 Sekunden im Oktober 2025. Bei schneller Richtungsänderung zeigte sich ein unsicheres Gangbild; der Seiltänzergang gelang nur mit Ausfallschritten. Die Konzentrationsspanne lag im standardisierten Test unter dem Altersniveau.</w:t>
      </w:r>
    </w:p>
    <w:p>
      <w:r>
        <w:t>Das MRT vom 19. Mai zeigt keine akute Entzündung, aber diskrete gegenüber 2024 leicht zunehmende Signalveränderungen im Kleinhirn. Akute Infektion oder medikamentöse Nebenwirkung ergaben sich nicht.</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2E5B62"/>
          </w:tcPr>
          <w:p>
            <w:r>
              <w:rPr>
                <w:rFonts w:ascii="Arial" w:hAnsi="Arial"/>
                <w:b/>
                <w:color w:val="FFFFFF"/>
                <w:sz w:val="17"/>
              </w:rPr>
              <w:t>Woche</w:t>
            </w:r>
          </w:p>
        </w:tc>
        <w:tc>
          <w:tcPr>
            <w:tcW w:type="dxa" w:w="4762"/>
            <w:vAlign w:val="center"/>
            <w:shd w:fill="2E5B62"/>
          </w:tcPr>
          <w:p>
            <w:r>
              <w:rPr>
                <w:rFonts w:ascii="Arial" w:hAnsi="Arial"/>
                <w:b/>
                <w:color w:val="FFFFFF"/>
                <w:sz w:val="17"/>
              </w:rPr>
              <w:t>Beobachtung der Familie</w:t>
            </w:r>
          </w:p>
        </w:tc>
      </w:tr>
      <w:tr>
        <w:tc>
          <w:tcPr>
            <w:tcW w:type="dxa" w:w="4762"/>
            <w:vAlign w:val="center"/>
          </w:tcPr>
          <w:p>
            <w:r>
              <w:rPr>
                <w:rFonts w:ascii="Arial" w:hAnsi="Arial"/>
                <w:sz w:val="17"/>
              </w:rPr>
              <w:t>13.05.–19.05.2026</w:t>
            </w:r>
          </w:p>
        </w:tc>
        <w:tc>
          <w:tcPr>
            <w:tcW w:type="dxa" w:w="4762"/>
            <w:vAlign w:val="center"/>
          </w:tcPr>
          <w:p>
            <w:r>
              <w:rPr>
                <w:rFonts w:ascii="Arial" w:hAnsi="Arial"/>
                <w:sz w:val="17"/>
              </w:rPr>
              <w:t>drei Schultage vorzeitig beendet, Beinschmerzen</w:t>
            </w:r>
          </w:p>
        </w:tc>
      </w:tr>
      <w:tr>
        <w:tc>
          <w:tcPr>
            <w:tcW w:type="dxa" w:w="4762"/>
            <w:vAlign w:val="center"/>
          </w:tcPr>
          <w:p>
            <w:r>
              <w:rPr>
                <w:rFonts w:ascii="Arial" w:hAnsi="Arial"/>
                <w:sz w:val="17"/>
              </w:rPr>
              <w:t>20.05.–26.05.2026</w:t>
            </w:r>
          </w:p>
        </w:tc>
        <w:tc>
          <w:tcPr>
            <w:tcW w:type="dxa" w:w="4762"/>
            <w:vAlign w:val="center"/>
          </w:tcPr>
          <w:p>
            <w:r>
              <w:rPr>
                <w:rFonts w:ascii="Arial" w:hAnsi="Arial"/>
                <w:sz w:val="17"/>
              </w:rPr>
              <w:t>Treppe nur mit Pause, Sturz auf Gehweg</w:t>
            </w:r>
          </w:p>
        </w:tc>
      </w:tr>
      <w:tr>
        <w:tc>
          <w:tcPr>
            <w:tcW w:type="dxa" w:w="4762"/>
            <w:vAlign w:val="center"/>
          </w:tcPr>
          <w:p>
            <w:r>
              <w:rPr>
                <w:rFonts w:ascii="Arial" w:hAnsi="Arial"/>
                <w:sz w:val="17"/>
              </w:rPr>
              <w:t>27.05.–02.06.2026</w:t>
            </w:r>
          </w:p>
        </w:tc>
        <w:tc>
          <w:tcPr>
            <w:tcW w:type="dxa" w:w="4762"/>
            <w:vAlign w:val="center"/>
          </w:tcPr>
          <w:p>
            <w:r>
              <w:rPr>
                <w:rFonts w:ascii="Arial" w:hAnsi="Arial"/>
                <w:sz w:val="17"/>
              </w:rPr>
              <w:t>Mathearbeit abgebrochen, Zittern rechte Hand</w:t>
            </w:r>
          </w:p>
        </w:tc>
      </w:tr>
      <w:tr>
        <w:tc>
          <w:tcPr>
            <w:tcW w:type="dxa" w:w="4762"/>
            <w:vAlign w:val="center"/>
          </w:tcPr>
          <w:p>
            <w:r>
              <w:rPr>
                <w:rFonts w:ascii="Arial" w:hAnsi="Arial"/>
                <w:sz w:val="17"/>
              </w:rPr>
              <w:t>03.06.–09.06.2026</w:t>
            </w:r>
          </w:p>
        </w:tc>
        <w:tc>
          <w:tcPr>
            <w:tcW w:type="dxa" w:w="4762"/>
            <w:vAlign w:val="center"/>
          </w:tcPr>
          <w:p>
            <w:r>
              <w:rPr>
                <w:rFonts w:ascii="Arial" w:hAnsi="Arial"/>
                <w:sz w:val="17"/>
              </w:rPr>
              <w:t>zwei Nächte starke Schmerzen, kein Sportunterricht</w:t>
            </w:r>
          </w:p>
        </w:tc>
      </w:tr>
    </w:tbl>
    <w:p/>
    <w:p>
      <w:r>
        <w:t>Empfohlen werden rasche interdisziplinäre Entscheidung über eine krankheitsmodifizierende Therapie, erneute Verlaufskontrolle in acht Wochen und Fortführung der schulischen Nachteilsausgleiche. Die konkrete Wirksamkeit einer Enzymsubstitution lässt sich aus diesem Verlaufsbefund allein nicht vorhersagen.</w:t>
      </w:r>
    </w:p>
    <w:p/>
    <w:p>
      <w:r>
        <w:rPr>
          <w:rFonts w:ascii="Arial" w:hAnsi="Arial"/>
          <w:b/>
          <w:sz w:val="20"/>
        </w:rPr>
        <w:t>Dr. med. Silvana Krettek</w:t>
        <w:br/>
      </w:r>
      <w:r>
        <w:rPr>
          <w:rFonts w:ascii="Arial" w:hAnsi="Arial"/>
          <w:sz w:val="20"/>
        </w:rPr>
        <w:t>Oberärztin · Neuropädiatrie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03b_neuropädiatrischer_verlaufsbefund_2026-05-22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E5B62"/>
        <w:sz w:val="20"/>
      </w:rPr>
      <w:t>Universitätsklinikum Jena · Sektion Neuropädiatrie</w:t>
    </w:r>
  </w:p>
  <w:p>
    <w:pPr>
      <w:spacing w:after="0"/>
      <w:pBdr>
        <w:bottom w:val="single" w:sz="8" w:space="3" w:color="2E5B62"/>
      </w:pBdr>
    </w:pPr>
    <w:r>
      <w:rPr>
        <w:rFonts w:ascii="Arial" w:hAnsi="Arial"/>
        <w:sz w:val="16"/>
      </w:rPr>
      <w:t>Am Klinikum 1, 07747 Jena | Telefon 03641 932 94-0 | Fallnummer NP-2026-7714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B6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B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E5B6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Neuropädiatrischer Verlaufsbefund</dc:title>
  <dc:subject/>
  <dc:creator>Universitätsklinikum Jena · Sektion Neuropädiatrie</dc:creator>
  <cp:keywords/>
  <dc:description>generated by python-docx</dc:description>
  <cp:lastModifiedBy/>
  <cp:revision>1</cp:revision>
  <dcterms:created xsi:type="dcterms:W3CDTF">2013-12-23T23:15:00Z</dcterms:created>
  <dcterms:modified xsi:type="dcterms:W3CDTF">2013-12-23T23:15:00Z</dcterms:modified>
  <cp:category/>
</cp:coreProperties>
</file>