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w:t>
            </w:r>
          </w:p>
        </w:tc>
        <w:tc>
          <w:tcPr>
            <w:tcW w:type="dxa" w:w="3402"/>
            <w:vAlign w:val="center"/>
          </w:tcPr>
          <w:p>
            <w:r>
              <w:rPr>
                <w:rFonts w:ascii="Arial" w:hAnsi="Arial"/>
                <w:sz w:val="17"/>
              </w:rPr>
              <w:t>Gregor Lütke, geboren am 22. November 1979</w:t>
            </w:r>
          </w:p>
        </w:tc>
      </w:tr>
      <w:tr>
        <w:tc>
          <w:tcPr>
            <w:tcW w:type="dxa" w:w="1984"/>
            <w:vAlign w:val="center"/>
          </w:tcPr>
          <w:p>
            <w:r>
              <w:rPr>
                <w:rFonts w:ascii="Arial" w:hAnsi="Arial"/>
                <w:b/>
                <w:sz w:val="17"/>
              </w:rPr>
              <w:t>Sitzung</w:t>
            </w:r>
          </w:p>
        </w:tc>
        <w:tc>
          <w:tcPr>
            <w:tcW w:type="dxa" w:w="3402"/>
            <w:vAlign w:val="center"/>
          </w:tcPr>
          <w:p>
            <w:r>
              <w:rPr>
                <w:rFonts w:ascii="Arial" w:hAnsi="Arial"/>
                <w:sz w:val="17"/>
              </w:rPr>
              <w:t>29. Mai 2026, 07:30 Uhr</w:t>
            </w:r>
          </w:p>
        </w:tc>
      </w:tr>
      <w:tr>
        <w:tc>
          <w:tcPr>
            <w:tcW w:type="dxa" w:w="1984"/>
            <w:vAlign w:val="center"/>
          </w:tcPr>
          <w:p>
            <w:r>
              <w:rPr>
                <w:rFonts w:ascii="Arial" w:hAnsi="Arial"/>
                <w:b/>
                <w:sz w:val="17"/>
              </w:rPr>
              <w:t>Protokoll</w:t>
            </w:r>
          </w:p>
        </w:tc>
        <w:tc>
          <w:tcPr>
            <w:tcW w:type="dxa" w:w="3402"/>
            <w:vAlign w:val="center"/>
          </w:tcPr>
          <w:p>
            <w:r>
              <w:rPr>
                <w:rFonts w:ascii="Arial" w:hAnsi="Arial"/>
                <w:sz w:val="17"/>
              </w:rPr>
              <w:t>TB-SAR-2026-221</w:t>
            </w:r>
          </w:p>
        </w:tc>
      </w:tr>
    </w:tbl>
    <w:p/>
    <w:p>
      <w:pPr>
        <w:pStyle w:val="Title"/>
      </w:pPr>
      <w:r>
        <w:t>Protokoll des interdisziplinären Sarkom-Tumorboards</w:t>
      </w:r>
    </w:p>
    <w:p>
      <w:r>
        <w:t>Teilnehmende: Prof. Dr. Mira Ebbinghaus, Medizinische Onkologie; Prof. Dr. Thilo Varnhagen, Radiologie; Dr. Rike Senf, Pathologie; Dr. Amir Bektas, Strahlentherapie; Apothekerin Nora Grothe.</w:t>
      </w:r>
    </w:p>
    <w:p>
      <w:r>
        <w:t>Ausgangslage: metastasiertes Weichteilsarkom mit Progression unter den dokumentierten Standardtherapien. Bildgebung vom 22. Mai zeigt Zunahme pulmonaler Läsionen und eine neue Läsion am Beckenkamm. Weitere zugelassene systemische Optionen wurden wegen Vorbehandlung und Toxizität als nicht tragfähig bewertet.</w:t>
      </w:r>
    </w:p>
    <w:p>
      <w:r>
        <w:t>Der molekulare Befund weist eine hohe LZ-4-Expression aus. Für Telvuranib-L liegen nicht vergleichende Daten einer kleinen Subgruppe vor. Eine kurative Wirkung ist nicht zu erwarten; diskutiert wurde eine mögliche Krankheitskontrolle bei engmaschiger Bildgebung und Abbruch bei fehlendem Ansprechen.</w:t>
      </w:r>
    </w:p>
    <w:p>
      <w:r>
        <w:t>Beschluss: Empfehlung eines individuellen Therapieversuchs für zwei Zyklen nach Aufklärung und Kostenfreigabe. Vor Beginn sind Blutbild, Leberwerte, EKG und erneute Bildgebung zu erheben. Bewertung nach sechs Wochen; Abbruch bei Progression oder nicht beherrschbarer Toxizität.</w:t>
      </w:r>
    </w:p>
    <w:p>
      <w:r>
        <w:t>Die Empfehlung ist eine medizinische Einzelfallentscheidung und keine Zusage der Kostenübernahme. Prof. Dr. Ebbinghaus erstellt eine gesonderte Nutzen-Risiko-Stellungnahme für den Kostenträger.</w:t>
      </w:r>
    </w:p>
    <w:p/>
    <w:p>
      <w:r>
        <w:rPr>
          <w:rFonts w:ascii="Arial" w:hAnsi="Arial"/>
          <w:b/>
          <w:sz w:val="20"/>
        </w:rPr>
        <w:t>Prof. Dr. Mira Ebbinghaus</w:t>
        <w:br/>
      </w:r>
      <w:r>
        <w:rPr>
          <w:rFonts w:ascii="Arial" w:hAnsi="Arial"/>
          <w:sz w:val="20"/>
        </w:rPr>
        <w:t>Leitung Sarkomzentrum</w:t>
        <w:br/>
      </w:r>
      <w:r>
        <w:rPr>
          <w:rFonts w:ascii="Arial" w:hAnsi="Arial"/>
          <w:sz w:val="20"/>
        </w:rPr>
        <w:t>Dr. Rike Senf, Protokollfreigabe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03a_tumorboardprotokoll_2026-05-29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Universitätsklinikum Münster · Sarkomzentrum</w:t>
    </w:r>
  </w:p>
  <w:p>
    <w:pPr>
      <w:spacing w:after="0"/>
      <w:pBdr>
        <w:bottom w:val="single" w:sz="8" w:space="3" w:color="2E5B62"/>
      </w:pBdr>
    </w:pPr>
    <w:r>
      <w:rPr>
        <w:rFonts w:ascii="Arial" w:hAnsi="Arial"/>
        <w:sz w:val="16"/>
      </w:rPr>
      <w:t>Albert-Schweitzer-Campus 1, 48149 Münster | Telefon 0251 83-0 | Fallnummer UKM-2026-448517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des interdisziplinären Sarkom-Tumorboards</dc:title>
  <dc:subject/>
  <dc:creator>Universitätsklinikum Münster · Sarkomzentrum</dc:creator>
  <cp:keywords/>
  <dc:description>generated by python-docx</dc:description>
  <cp:lastModifiedBy/>
  <cp:revision>1</cp:revision>
  <dcterms:created xsi:type="dcterms:W3CDTF">2013-12-23T23:15:00Z</dcterms:created>
  <dcterms:modified xsi:type="dcterms:W3CDTF">2013-12-23T23:15:00Z</dcterms:modified>
  <cp:category/>
</cp:coreProperties>
</file>