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Patient</w:t>
            </w:r>
          </w:p>
        </w:tc>
        <w:tc>
          <w:tcPr>
            <w:tcW w:type="dxa" w:w="3402"/>
            <w:vAlign w:val="center"/>
          </w:tcPr>
          <w:p>
            <w:r>
              <w:rPr>
                <w:rFonts w:ascii="Arial" w:hAnsi="Arial"/>
                <w:sz w:val="17"/>
              </w:rPr>
              <w:t>Gregor Lütke</w:t>
            </w:r>
          </w:p>
        </w:tc>
      </w:tr>
      <w:tr>
        <w:tc>
          <w:tcPr>
            <w:tcW w:type="dxa" w:w="1984"/>
            <w:vAlign w:val="center"/>
          </w:tcPr>
          <w:p>
            <w:r>
              <w:rPr>
                <w:rFonts w:ascii="Arial" w:hAnsi="Arial"/>
                <w:b/>
                <w:sz w:val="17"/>
              </w:rPr>
              <w:t>Wirkstoff</w:t>
            </w:r>
          </w:p>
        </w:tc>
        <w:tc>
          <w:tcPr>
            <w:tcW w:type="dxa" w:w="3402"/>
            <w:vAlign w:val="center"/>
          </w:tcPr>
          <w:p>
            <w:r>
              <w:rPr>
                <w:rFonts w:ascii="Arial" w:hAnsi="Arial"/>
                <w:sz w:val="17"/>
              </w:rPr>
              <w:t>Telvuranib-L</w:t>
            </w:r>
          </w:p>
        </w:tc>
      </w:tr>
      <w:tr>
        <w:tc>
          <w:tcPr>
            <w:tcW w:type="dxa" w:w="1984"/>
            <w:vAlign w:val="center"/>
          </w:tcPr>
          <w:p>
            <w:r>
              <w:rPr>
                <w:rFonts w:ascii="Arial" w:hAnsi="Arial"/>
                <w:b/>
                <w:sz w:val="17"/>
              </w:rPr>
              <w:t>Datum</w:t>
            </w:r>
          </w:p>
        </w:tc>
        <w:tc>
          <w:tcPr>
            <w:tcW w:type="dxa" w:w="3402"/>
            <w:vAlign w:val="center"/>
          </w:tcPr>
          <w:p>
            <w:r>
              <w:rPr>
                <w:rFonts w:ascii="Arial" w:hAnsi="Arial"/>
                <w:sz w:val="17"/>
              </w:rPr>
              <w:t>2. Juni 2026</w:t>
            </w:r>
          </w:p>
        </w:tc>
      </w:tr>
    </w:tbl>
    <w:p/>
    <w:p>
      <w:pPr>
        <w:pStyle w:val="Title"/>
      </w:pPr>
      <w:r>
        <w:t>Ärztliche Nutzen-Risiko-Stellungnahme</w:t>
      </w:r>
    </w:p>
    <w:p>
      <w:r>
        <w:t>Herr Lütke leidet an einem fortschreitenden metastasierten Weichteilsarkom. Die dokumentierten zugelassenen Therapieoptionen sind ausgeschöpft oder wegen vorausgegangener Toxizität nicht mehr vertretbar. Ohne wirksame systemische Behandlung ist kurzfristig mit weiterer pulmonaler und ossärer Progression zu rechnen.</w:t>
      </w:r>
    </w:p>
    <w:p>
      <w:r>
        <w:t>Die Nutzenannahme stützt sich auf die beim Patienten nachgewiesene hohe LZ-4-Expression, präklinische Daten und eine kleine klinische Subgruppe. Die Evidenz ist begrenzt; eine sichere Verlängerung der Lebenszeit lässt sich nicht versprechen. Medizinisches Ziel ist eine zeitlich relevante Krankheitskontrolle bei erhaltener häuslicher Versorgung.</w:t>
      </w:r>
    </w:p>
    <w:p>
      <w:r>
        <w:t>Vorgesehen sind zunächst drei Dosen im Abstand von drei Wochen. Vor jeder Gabe erfolgen Labor, EKG und klinische Untersuchung. Nach zwei Zyklen wird per CT bewertet. Bei Progression, schwerer Organnebenwirkung oder fehlender Belastbarkeit wird die Therapie beendet.</w:t>
      </w:r>
    </w:p>
    <w:p>
      <w:r>
        <w:t>Alternativen sind symptomorientierte Behandlung und die Prüfung einer Studie in Hamburg. Die Studie erfordert nach aktuellem Stand wiederholte Reisen; die Reisefähigkeit ist wegen Sauerstoffbedarf und Schmerzsymptomatik fraglich. Eine endgültige Eignungsprüfung durch das Studienzentrum steht aus.</w:t>
      </w:r>
    </w:p>
    <w:p>
      <w:r>
        <w:t>Der Therapiebeginn ist für 11. Juli 2026 reserviert. Die erste Dosis muss nach Mitteilung der Apotheke bis 5. Juli verbindlich bestellt werden.</w:t>
      </w:r>
    </w:p>
    <w:p/>
    <w:p>
      <w:r>
        <w:rPr>
          <w:rFonts w:ascii="Arial" w:hAnsi="Arial"/>
          <w:b/>
          <w:sz w:val="20"/>
        </w:rPr>
        <w:t>Prof. Dr. med. Mira Ebbinghaus</w:t>
        <w:br/>
      </w:r>
      <w:r>
        <w:rPr>
          <w:rFonts w:ascii="Arial" w:hAnsi="Arial"/>
          <w:sz w:val="20"/>
        </w:rPr>
        <w:t>Leitende Oberärztin · Medizinische Onkologie</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03b_nutzen_risiko_stellungnahme_telvuranib_2026-06-02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E5B62"/>
        <w:sz w:val="20"/>
      </w:rPr>
      <w:t>Universitätsklinikum Münster · Medizinische Klinik A</w:t>
    </w:r>
  </w:p>
  <w:p>
    <w:pPr>
      <w:spacing w:after="0"/>
      <w:pBdr>
        <w:bottom w:val="single" w:sz="8" w:space="3" w:color="2E5B62"/>
      </w:pBdr>
    </w:pPr>
    <w:r>
      <w:rPr>
        <w:rFonts w:ascii="Arial" w:hAnsi="Arial"/>
        <w:sz w:val="16"/>
      </w:rPr>
      <w:t>Albert-Schweitzer-Campus 1, 48149 Münster | Telefon 0251 83-47611 | Fallnummer UKM-2026-448517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B6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B6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E5B6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Ärztliche Nutzen-Risiko-Stellungnahme</dc:title>
  <dc:subject/>
  <dc:creator>Universitätsklinikum Münster · Medizinische Klinik A</dc:creator>
  <cp:keywords/>
  <dc:description>generated by python-docx</dc:description>
  <cp:lastModifiedBy/>
  <cp:revision>1</cp:revision>
  <dcterms:created xsi:type="dcterms:W3CDTF">2013-12-23T23:15:00Z</dcterms:created>
  <dcterms:modified xsi:type="dcterms:W3CDTF">2013-12-23T23:15:00Z</dcterms:modified>
  <cp:category/>
</cp:coreProperties>
</file>