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Antragsteller</w:t>
            </w:r>
          </w:p>
        </w:tc>
        <w:tc>
          <w:tcPr>
            <w:tcW w:type="dxa" w:w="3402"/>
            <w:vAlign w:val="center"/>
          </w:tcPr>
          <w:p>
            <w:r>
              <w:rPr>
                <w:rFonts w:ascii="Arial" w:hAnsi="Arial"/>
                <w:sz w:val="17"/>
              </w:rPr>
              <w:t>Gregor Lütke</w:t>
            </w:r>
          </w:p>
        </w:tc>
      </w:tr>
      <w:tr>
        <w:tc>
          <w:tcPr>
            <w:tcW w:type="dxa" w:w="1984"/>
            <w:vAlign w:val="center"/>
          </w:tcPr>
          <w:p>
            <w:r>
              <w:rPr>
                <w:rFonts w:ascii="Arial" w:hAnsi="Arial"/>
                <w:b/>
                <w:sz w:val="17"/>
              </w:rPr>
              <w:t>Antragsgegnerin</w:t>
            </w:r>
          </w:p>
        </w:tc>
        <w:tc>
          <w:tcPr>
            <w:tcW w:type="dxa" w:w="3402"/>
            <w:vAlign w:val="center"/>
          </w:tcPr>
          <w:p>
            <w:r>
              <w:rPr>
                <w:rFonts w:ascii="Arial" w:hAnsi="Arial"/>
                <w:sz w:val="17"/>
              </w:rPr>
              <w:t>Vitalis BKK</w:t>
            </w:r>
          </w:p>
        </w:tc>
      </w:tr>
      <w:tr>
        <w:tc>
          <w:tcPr>
            <w:tcW w:type="dxa" w:w="1984"/>
            <w:vAlign w:val="center"/>
          </w:tcPr>
          <w:p>
            <w:r>
              <w:rPr>
                <w:rFonts w:ascii="Arial" w:hAnsi="Arial"/>
                <w:b/>
                <w:sz w:val="17"/>
              </w:rPr>
              <w:t>Entwurf</w:t>
            </w:r>
          </w:p>
        </w:tc>
        <w:tc>
          <w:tcPr>
            <w:tcW w:type="dxa" w:w="3402"/>
            <w:vAlign w:val="center"/>
          </w:tcPr>
          <w:p>
            <w:r>
              <w:rPr>
                <w:rFonts w:ascii="Arial" w:hAnsi="Arial"/>
                <w:sz w:val="17"/>
              </w:rPr>
              <w:t>30. Juni 2026</w:t>
            </w:r>
          </w:p>
        </w:tc>
      </w:tr>
    </w:tbl>
    <w:p/>
    <w:p>
      <w:r>
        <w:rPr>
          <w:rFonts w:ascii="Arial" w:hAnsi="Arial"/>
          <w:sz w:val="20"/>
        </w:rPr>
        <w:t>An das Sozialgericht Münster</w:t>
        <w:br/>
      </w:r>
      <w:r>
        <w:rPr>
          <w:rFonts w:ascii="Arial" w:hAnsi="Arial"/>
          <w:sz w:val="20"/>
        </w:rPr>
        <w:t>Alter Steinweg 45</w:t>
        <w:br/>
      </w:r>
      <w:r>
        <w:rPr>
          <w:rFonts w:ascii="Arial" w:hAnsi="Arial"/>
          <w:sz w:val="20"/>
        </w:rPr>
        <w:t>48143 Münster</w:t>
      </w:r>
    </w:p>
    <w:p>
      <w:pPr>
        <w:pStyle w:val="Title"/>
      </w:pPr>
      <w:r>
        <w:t>Antrag auf Erlass einer einstweiligen Anordnung</w:t>
      </w:r>
    </w:p>
    <w:p>
      <w:r>
        <w:t>Entwurf Eilantrag Sozialgericht Münster</w:t>
      </w:r>
    </w:p>
    <w:p>
      <w:r>
        <w:t>Entwurf vom 30.06.2026, Az. 2026-233-LÜ/mö — Einreichung per beA, sobald die Kasse nicht bis zum 03.07.2026 abhilft</w:t>
      </w:r>
    </w:p>
    <w:p>
      <w:r>
        <w:t>Antrag:</w:t>
      </w:r>
    </w:p>
    <w:p>
      <w:r>
        <w:t>Die Antragsgegnerin wird im Wege der einstweiligen Anordnung verpflichtet, dem Antragsteller vorläufig die Versorgung mit Lunazimerab nach ärztlicher Verordnung der Universitätsklinik Münster für zunächst drei Dosen zu gewähren.</w:t>
      </w:r>
    </w:p>
    <w:p>
      <w:r>
        <w:t>Hilfsweise wird beantragt, die Antragsgegnerin zu verpflichten, binnen 48 Stunden eine persönliche fachonkologische Begutachtung unter Einbeziehung des Tumorboards zu veranlassen und bis dahin die Therapiereservierung nicht durch Untätigkeit vereiteln zu lassen.</w:t>
      </w:r>
    </w:p>
    <w:p>
      <w:r>
        <w:t>Anordnungsgrund</w:t>
      </w:r>
    </w:p>
    <w:p>
      <w:r>
        <w:t>Der Therapieslot ist auf den 11.07.2026 reserviert; der Hersteller hält die erste Dosis nur bis zum 05.07.2026 vor, danach ist eine neue Freigabe mit Lieferzeit erforderlich. Nach Auskunft der Klinik verschlechtert jede weitere Verzögerung die Chance auf Krankheitskontrolle; die Bildgebung vom 10.06.2026 zeigt eine zunehmende Belastung der rechten Lunge und eine neue Läsion am Beckenkamm. Eine Entscheidung in der Hauptsache käme für den Antragsteller voraussichtlich zu spät. Die Eheleute Lütke können Kosten von rund 500.000 EUR je Dosis offensichtlich nicht vorfinanzieren.</w:t>
      </w:r>
    </w:p>
    <w:p>
      <w:r>
        <w:t>Beweisangebote</w:t>
      </w:r>
    </w:p>
    <w:p>
      <w:r>
        <w:t>Ärztliche Stellungnahme Prof. Dr. Ebbinghaus.</w:t>
      </w:r>
    </w:p>
    <w:p>
      <w:r>
        <w:t>Tumorboardprotokoll vom 29.05.2026.</w:t>
      </w:r>
    </w:p>
    <w:p>
      <w:r>
        <w:t>Molekularpathologischer Befund LZ-4.</w:t>
      </w:r>
    </w:p>
    <w:p>
      <w:r>
        <w:t>Kostenvoranschlag der Krankenhausapotheke vom 21.06.2026.</w:t>
      </w:r>
    </w:p>
    <w:p>
      <w:r>
        <w:t>Anhörung der behandelnden Onkologin.</w:t>
      </w:r>
    </w:p>
    <w:p>
      <w:r>
        <w:t>Hilfsweise gerichtliches Sachverständigengutachten mit Fristsetzung.</w:t>
      </w:r>
    </w:p>
    <w:p>
      <w:r>
        <w:t>Sachverhalt</w:t>
      </w:r>
    </w:p>
    <w:p>
      <w:r>
        <w:t>Der Antragsteller leidet an einem rasch progredienten metastasierten Sarkom. Der Therapietermin ist für 11. Juli reserviert; die erste Dosis muss nach Mitteilung der Krankenhausapotheke bis 5. Juli verbindlich bestellt werden. Der Widerspruch vom 29. Juni ist bislang nicht beschieden.</w:t>
      </w:r>
    </w:p>
    <w:p>
      <w:r>
        <w:t>Glaubhaftmachung</w:t>
      </w:r>
    </w:p>
    <w:p>
      <w:r>
        <w:t>Die medizinische Dringlichkeit wird durch eidesstattliche Versicherung des Antragstellers, Tumorboardprotokoll, Nutzen-Risiko-Stellungnahme und Terminbestätigung glaubhaft gemacht. Die begrenzte Evidenz wird offengelegt; Gegenstand des Eilverfahrens ist die vorläufige Versorgung unter engmaschiger Kontrolle.</w:t>
      </w:r>
    </w:p>
    <w:p>
      <w:r>
        <w:rPr>
          <w:b/>
        </w:rPr>
        <w:t>Anlagenverzeichnis: A1 Vollmacht; A2 Bescheid; A3 Widerspruch; A4 Tumorboardprotokoll; A5 Nutzen-Risiko-Stellungnahme; A6 Molekularbefund; A7 Kostenvoranschlag; A8 Terminbestätigung; A9 eidesstattliche Versicherung.</w:t>
      </w:r>
    </w:p>
    <w:p/>
    <w:p>
      <w:r>
        <w:rPr>
          <w:rFonts w:ascii="Arial" w:hAnsi="Arial"/>
          <w:b/>
          <w:sz w:val="20"/>
        </w:rPr>
        <w:t>Dr. Jonas Möllenkamp</w:t>
        <w:br/>
      </w:r>
      <w:r>
        <w:rPr>
          <w:rFonts w:ascii="Arial" w:hAnsi="Arial"/>
          <w:sz w:val="20"/>
        </w:rPr>
        <w:t>Rechtsanwalt · Fachanwalt für Sozialrecht und Medizinrecht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06b_eilantrag_sozialgericht_münster_2026-06-30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C2F38"/>
        <w:sz w:val="20"/>
      </w:rPr>
      <w:t>Möllenkamp &amp; Feldhaus Rechtsanwälte PartG mbB</w:t>
    </w:r>
  </w:p>
  <w:p>
    <w:pPr>
      <w:spacing w:after="0"/>
      <w:pBdr>
        <w:bottom w:val="single" w:sz="8" w:space="3" w:color="4C2F38"/>
      </w:pBdr>
    </w:pPr>
    <w:r>
      <w:rPr>
        <w:rFonts w:ascii="Arial" w:hAnsi="Arial"/>
        <w:sz w:val="16"/>
      </w:rPr>
      <w:t>Windthorststraße 16, 48143 Münster | Telefon 0251 482 06-30 | Telefax 0251 482 06-39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C2F3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C2F3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C2F3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auf Erlass einer einstweiligen Anordnung</dc:title>
  <dc:subject/>
  <dc:creator>Möllenkamp &amp; Feldhaus Rechtsanwälte PartG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