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Aktenzeichen</w:t>
            </w:r>
          </w:p>
        </w:tc>
        <w:tc>
          <w:tcPr>
            <w:tcW w:type="dxa" w:w="3402"/>
            <w:vAlign w:val="center"/>
          </w:tcPr>
          <w:p>
            <w:r>
              <w:rPr>
                <w:rFonts w:ascii="Arial" w:hAnsi="Arial"/>
                <w:sz w:val="17"/>
              </w:rPr>
              <w:t>2023-PG-01287-T</w:t>
            </w:r>
          </w:p>
        </w:tc>
      </w:tr>
      <w:tr>
        <w:tc>
          <w:tcPr>
            <w:tcW w:type="dxa" w:w="1984"/>
            <w:vAlign w:val="center"/>
          </w:tcPr>
          <w:p>
            <w:r>
              <w:rPr>
                <w:rFonts w:ascii="Arial" w:hAnsi="Arial"/>
                <w:b/>
                <w:sz w:val="17"/>
              </w:rPr>
              <w:t>Versichertennummer</w:t>
            </w:r>
          </w:p>
        </w:tc>
        <w:tc>
          <w:tcPr>
            <w:tcW w:type="dxa" w:w="3402"/>
            <w:vAlign w:val="center"/>
          </w:tcPr>
          <w:p>
            <w:r>
              <w:rPr>
                <w:rFonts w:ascii="Arial" w:hAnsi="Arial"/>
                <w:sz w:val="17"/>
              </w:rPr>
              <w:t>N123-456-789-Z</w:t>
            </w:r>
          </w:p>
        </w:tc>
      </w:tr>
      <w:tr>
        <w:tc>
          <w:tcPr>
            <w:tcW w:type="dxa" w:w="1984"/>
            <w:vAlign w:val="center"/>
          </w:tcPr>
          <w:p>
            <w:r>
              <w:rPr>
                <w:rFonts w:ascii="Arial" w:hAnsi="Arial"/>
                <w:b/>
                <w:sz w:val="17"/>
              </w:rPr>
              <w:t>Antrag</w:t>
            </w:r>
          </w:p>
        </w:tc>
        <w:tc>
          <w:tcPr>
            <w:tcW w:type="dxa" w:w="3402"/>
            <w:vAlign w:val="center"/>
          </w:tcPr>
          <w:p>
            <w:r>
              <w:rPr>
                <w:rFonts w:ascii="Arial" w:hAnsi="Arial"/>
                <w:sz w:val="17"/>
              </w:rPr>
              <w:t>10. März 2023</w:t>
            </w:r>
          </w:p>
        </w:tc>
      </w:tr>
      <w:tr>
        <w:tc>
          <w:tcPr>
            <w:tcW w:type="dxa" w:w="1984"/>
            <w:vAlign w:val="center"/>
          </w:tcPr>
          <w:p>
            <w:r>
              <w:rPr>
                <w:rFonts w:ascii="Arial" w:hAnsi="Arial"/>
                <w:b/>
                <w:sz w:val="17"/>
              </w:rPr>
              <w:t>Datum</w:t>
            </w:r>
          </w:p>
        </w:tc>
        <w:tc>
          <w:tcPr>
            <w:tcW w:type="dxa" w:w="3402"/>
            <w:vAlign w:val="center"/>
          </w:tcPr>
          <w:p>
            <w:r>
              <w:rPr>
                <w:rFonts w:ascii="Arial" w:hAnsi="Arial"/>
                <w:sz w:val="17"/>
              </w:rPr>
              <w:t>4. Mai 2023</w:t>
            </w:r>
          </w:p>
        </w:tc>
      </w:tr>
    </w:tbl>
    <w:p/>
    <w:p>
      <w:r>
        <w:rPr>
          <w:rFonts w:ascii="Arial" w:hAnsi="Arial"/>
          <w:sz w:val="20"/>
        </w:rPr>
        <w:t>Herrn Olaf Tannenberg</w:t>
        <w:br/>
      </w:r>
      <w:r>
        <w:rPr>
          <w:rFonts w:ascii="Arial" w:hAnsi="Arial"/>
          <w:sz w:val="20"/>
        </w:rPr>
        <w:t>Adelheidstraße 17</w:t>
        <w:br/>
      </w:r>
      <w:r>
        <w:rPr>
          <w:rFonts w:ascii="Arial" w:hAnsi="Arial"/>
          <w:sz w:val="20"/>
        </w:rPr>
        <w:t>24103 Kiel</w:t>
      </w:r>
    </w:p>
    <w:p>
      <w:pPr>
        <w:pStyle w:val="Title"/>
      </w:pPr>
      <w:r>
        <w:t>Bescheid über die Einstufung in Pflegegrad 2</w:t>
      </w:r>
    </w:p>
    <w:p>
      <w:r>
        <w:t>Sehr geehrter Herr Tannenberg,</w:t>
      </w:r>
    </w:p>
    <w:p>
      <w:r>
        <w:t>auf der Grundlage des Gutachtens des Medizinischen Dienstes Nord vom 19. April 2023 stellen wir bei Ihnen ab 4. Mai 2023 Pflegegrad 2 fest.</w:t>
      </w:r>
    </w:p>
    <w:p>
      <w:r>
        <w:t>Feststellungen des Medizinischen Dienstes</w:t>
      </w:r>
    </w:p>
    <w:p>
      <w:r>
        <w:t>Die gewichtete Gesamtpunktzahl beträgt 36,5 Punkte. Berücksichtigt wurden Beeinträchtigungen der Mobilität, der Selbstversorgung, des Umgangs mit krankheitsbedingten Anforderungen und der Gestaltung des Alltagslebens. Den größten Anteil bilden Hilfebedarf beim Duschen, Ankleiden, bei Transfers und bei der selbstständigen Organisation der Medikation.</w:t>
      </w:r>
    </w:p>
    <w:tbl>
      <w:tblPr>
        <w:tblStyle w:val="TableGrid"/>
        <w:tblW w:type="auto" w:w="0"/>
        <w:jc w:val="center"/>
        <w:tblLook w:firstColumn="1" w:firstRow="1" w:lastColumn="0" w:lastRow="0" w:noHBand="0" w:noVBand="1" w:val="04A0"/>
      </w:tblPr>
      <w:tblGrid>
        <w:gridCol w:w="3175"/>
        <w:gridCol w:w="3175"/>
        <w:gridCol w:w="3175"/>
      </w:tblGrid>
      <w:tr>
        <w:tc>
          <w:tcPr>
            <w:tcW w:type="dxa" w:w="3175"/>
            <w:vAlign w:val="center"/>
            <w:shd w:fill="15506A"/>
          </w:tcPr>
          <w:p>
            <w:r>
              <w:rPr>
                <w:rFonts w:ascii="Arial" w:hAnsi="Arial"/>
                <w:b/>
                <w:color w:val="FFFFFF"/>
                <w:sz w:val="17"/>
              </w:rPr>
              <w:t>Modul</w:t>
            </w:r>
          </w:p>
        </w:tc>
        <w:tc>
          <w:tcPr>
            <w:tcW w:type="dxa" w:w="3175"/>
            <w:vAlign w:val="center"/>
            <w:shd w:fill="15506A"/>
          </w:tcPr>
          <w:p>
            <w:r>
              <w:rPr>
                <w:rFonts w:ascii="Arial" w:hAnsi="Arial"/>
                <w:b/>
                <w:color w:val="FFFFFF"/>
                <w:sz w:val="17"/>
              </w:rPr>
              <w:t>Festgestellte Beeinträchtigung</w:t>
            </w:r>
          </w:p>
        </w:tc>
        <w:tc>
          <w:tcPr>
            <w:tcW w:type="dxa" w:w="3175"/>
            <w:vAlign w:val="center"/>
            <w:shd w:fill="15506A"/>
          </w:tcPr>
          <w:p>
            <w:r>
              <w:rPr>
                <w:rFonts w:ascii="Arial" w:hAnsi="Arial"/>
                <w:b/>
                <w:color w:val="FFFFFF"/>
                <w:sz w:val="17"/>
              </w:rPr>
              <w:t>Gewichteter Beitrag</w:t>
            </w:r>
          </w:p>
        </w:tc>
      </w:tr>
      <w:tr>
        <w:tc>
          <w:tcPr>
            <w:tcW w:type="dxa" w:w="3175"/>
            <w:vAlign w:val="center"/>
          </w:tcPr>
          <w:p>
            <w:r>
              <w:rPr>
                <w:rFonts w:ascii="Arial" w:hAnsi="Arial"/>
                <w:sz w:val="17"/>
              </w:rPr>
              <w:t>Mobilität</w:t>
            </w:r>
          </w:p>
        </w:tc>
        <w:tc>
          <w:tcPr>
            <w:tcW w:type="dxa" w:w="3175"/>
            <w:vAlign w:val="center"/>
          </w:tcPr>
          <w:p>
            <w:r>
              <w:rPr>
                <w:rFonts w:ascii="Arial" w:hAnsi="Arial"/>
                <w:sz w:val="17"/>
              </w:rPr>
              <w:t>erheblich eingeschränkt</w:t>
            </w:r>
          </w:p>
        </w:tc>
        <w:tc>
          <w:tcPr>
            <w:tcW w:type="dxa" w:w="3175"/>
            <w:vAlign w:val="center"/>
          </w:tcPr>
          <w:p>
            <w:r>
              <w:rPr>
                <w:rFonts w:ascii="Arial" w:hAnsi="Arial"/>
                <w:sz w:val="17"/>
              </w:rPr>
              <w:t>3,0 Punkte</w:t>
            </w:r>
          </w:p>
        </w:tc>
      </w:tr>
      <w:tr>
        <w:tc>
          <w:tcPr>
            <w:tcW w:type="dxa" w:w="3175"/>
            <w:vAlign w:val="center"/>
          </w:tcPr>
          <w:p>
            <w:r>
              <w:rPr>
                <w:rFonts w:ascii="Arial" w:hAnsi="Arial"/>
                <w:sz w:val="17"/>
              </w:rPr>
              <w:t>Kognition und Kommunikation</w:t>
            </w:r>
          </w:p>
        </w:tc>
        <w:tc>
          <w:tcPr>
            <w:tcW w:type="dxa" w:w="3175"/>
            <w:vAlign w:val="center"/>
          </w:tcPr>
          <w:p>
            <w:r>
              <w:rPr>
                <w:rFonts w:ascii="Arial" w:hAnsi="Arial"/>
                <w:sz w:val="17"/>
              </w:rPr>
              <w:t>gering eingeschränkt</w:t>
            </w:r>
          </w:p>
        </w:tc>
        <w:tc>
          <w:tcPr>
            <w:tcW w:type="dxa" w:w="3175"/>
            <w:vAlign w:val="center"/>
          </w:tcPr>
          <w:p>
            <w:r>
              <w:rPr>
                <w:rFonts w:ascii="Arial" w:hAnsi="Arial"/>
                <w:sz w:val="17"/>
              </w:rPr>
              <w:t>1,1 Punkte</w:t>
            </w:r>
          </w:p>
        </w:tc>
      </w:tr>
      <w:tr>
        <w:tc>
          <w:tcPr>
            <w:tcW w:type="dxa" w:w="3175"/>
            <w:vAlign w:val="center"/>
          </w:tcPr>
          <w:p>
            <w:r>
              <w:rPr>
                <w:rFonts w:ascii="Arial" w:hAnsi="Arial"/>
                <w:sz w:val="17"/>
              </w:rPr>
              <w:t>Verhaltensweisen</w:t>
            </w:r>
          </w:p>
        </w:tc>
        <w:tc>
          <w:tcPr>
            <w:tcW w:type="dxa" w:w="3175"/>
            <w:vAlign w:val="center"/>
          </w:tcPr>
          <w:p>
            <w:r>
              <w:rPr>
                <w:rFonts w:ascii="Arial" w:hAnsi="Arial"/>
                <w:sz w:val="17"/>
              </w:rPr>
              <w:t>keine relevante Einschränkung</w:t>
            </w:r>
          </w:p>
        </w:tc>
        <w:tc>
          <w:tcPr>
            <w:tcW w:type="dxa" w:w="3175"/>
            <w:vAlign w:val="center"/>
          </w:tcPr>
          <w:p>
            <w:r>
              <w:rPr>
                <w:rFonts w:ascii="Arial" w:hAnsi="Arial"/>
                <w:sz w:val="17"/>
              </w:rPr>
              <w:t>0,0 Punkte</w:t>
            </w:r>
          </w:p>
        </w:tc>
      </w:tr>
      <w:tr>
        <w:tc>
          <w:tcPr>
            <w:tcW w:type="dxa" w:w="3175"/>
            <w:vAlign w:val="center"/>
          </w:tcPr>
          <w:p>
            <w:r>
              <w:rPr>
                <w:rFonts w:ascii="Arial" w:hAnsi="Arial"/>
                <w:sz w:val="17"/>
              </w:rPr>
              <w:t>Selbstversorgung</w:t>
            </w:r>
          </w:p>
        </w:tc>
        <w:tc>
          <w:tcPr>
            <w:tcW w:type="dxa" w:w="3175"/>
            <w:vAlign w:val="center"/>
          </w:tcPr>
          <w:p>
            <w:r>
              <w:rPr>
                <w:rFonts w:ascii="Arial" w:hAnsi="Arial"/>
                <w:sz w:val="17"/>
              </w:rPr>
              <w:t>erheblich eingeschränkt</w:t>
            </w:r>
          </w:p>
        </w:tc>
        <w:tc>
          <w:tcPr>
            <w:tcW w:type="dxa" w:w="3175"/>
            <w:vAlign w:val="center"/>
          </w:tcPr>
          <w:p>
            <w:r>
              <w:rPr>
                <w:rFonts w:ascii="Arial" w:hAnsi="Arial"/>
                <w:sz w:val="17"/>
              </w:rPr>
              <w:t>19,0 Punkte</w:t>
            </w:r>
          </w:p>
        </w:tc>
      </w:tr>
      <w:tr>
        <w:tc>
          <w:tcPr>
            <w:tcW w:type="dxa" w:w="3175"/>
            <w:vAlign w:val="center"/>
          </w:tcPr>
          <w:p>
            <w:r>
              <w:rPr>
                <w:rFonts w:ascii="Arial" w:hAnsi="Arial"/>
                <w:sz w:val="17"/>
              </w:rPr>
              <w:t>Krankheitsbedingte Anforderungen</w:t>
            </w:r>
          </w:p>
        </w:tc>
        <w:tc>
          <w:tcPr>
            <w:tcW w:type="dxa" w:w="3175"/>
            <w:vAlign w:val="center"/>
          </w:tcPr>
          <w:p>
            <w:r>
              <w:rPr>
                <w:rFonts w:ascii="Arial" w:hAnsi="Arial"/>
                <w:sz w:val="17"/>
              </w:rPr>
              <w:t>erheblich eingeschränkt</w:t>
            </w:r>
          </w:p>
        </w:tc>
        <w:tc>
          <w:tcPr>
            <w:tcW w:type="dxa" w:w="3175"/>
            <w:vAlign w:val="center"/>
          </w:tcPr>
          <w:p>
            <w:r>
              <w:rPr>
                <w:rFonts w:ascii="Arial" w:hAnsi="Arial"/>
                <w:sz w:val="17"/>
              </w:rPr>
              <w:t>10,0 Punkte</w:t>
            </w:r>
          </w:p>
        </w:tc>
      </w:tr>
      <w:tr>
        <w:tc>
          <w:tcPr>
            <w:tcW w:type="dxa" w:w="3175"/>
            <w:vAlign w:val="center"/>
          </w:tcPr>
          <w:p>
            <w:r>
              <w:rPr>
                <w:rFonts w:ascii="Arial" w:hAnsi="Arial"/>
                <w:sz w:val="17"/>
              </w:rPr>
              <w:t>Alltagsleben und soziale Kontakte</w:t>
            </w:r>
          </w:p>
        </w:tc>
        <w:tc>
          <w:tcPr>
            <w:tcW w:type="dxa" w:w="3175"/>
            <w:vAlign w:val="center"/>
          </w:tcPr>
          <w:p>
            <w:r>
              <w:rPr>
                <w:rFonts w:ascii="Arial" w:hAnsi="Arial"/>
                <w:sz w:val="17"/>
              </w:rPr>
              <w:t>erheblich eingeschränkt</w:t>
            </w:r>
          </w:p>
        </w:tc>
        <w:tc>
          <w:tcPr>
            <w:tcW w:type="dxa" w:w="3175"/>
            <w:vAlign w:val="center"/>
          </w:tcPr>
          <w:p>
            <w:r>
              <w:rPr>
                <w:rFonts w:ascii="Arial" w:hAnsi="Arial"/>
                <w:sz w:val="17"/>
              </w:rPr>
              <w:t>3,4 Punkte</w:t>
            </w:r>
          </w:p>
        </w:tc>
      </w:tr>
    </w:tbl>
    <w:p/>
    <w:p>
      <w:r>
        <w:t>Leistungen ab Mai 2023</w:t>
      </w:r>
    </w:p>
    <w:p>
      <w:r>
        <w:t>Bei häuslicher Pflege kann Pflegegeld von monatlich 316,00 Euro beansprucht werden. Alternativ stehen Pflegesachleistungen bis monatlich 724,00 Euro oder eine Kombination beider Leistungsarten zur Verfügung. Der Entlastungsbetrag beträgt monatlich bis zu 125,00 Euro. Änderungen der gesetzlichen Beträge werden automatisch berücksichtigt.</w:t>
      </w:r>
    </w:p>
    <w:p>
      <w:r>
        <w:t>Für Pflegehilfsmittel zum Verbrauch können bei Vorliegen der Voraussetzungen Aufwendungen bis zum gesetzlichen Höchstbetrag erstattet werden. Ein Beratungseinsatz ist bei ausschließlichem Pflegegeld halbjährlich nachzuweisen.</w:t>
      </w:r>
    </w:p>
    <w:p>
      <w:r>
        <w:t>Rechtsbehelfsbelehrung</w:t>
      </w:r>
    </w:p>
    <w:p>
      <w:r>
        <w:t>Gegen diesen Bescheid kann innerhalb eines Monats nach Bekanntgabe Widerspruch erhoben werden. Der Widerspruch ist schriftlich, in zugelassener elektronischer Form oder zur Niederschrift bei der Nordsee-BKK Pflegekasse einzulegen.</w:t>
      </w:r>
    </w:p>
    <w:p>
      <w:r>
        <w:rPr>
          <w:b/>
        </w:rPr>
        <w:t>Anlage: vollständiges Gutachten des Medizinischen Dienstes Nord vom 19. April 2023.</w:t>
      </w:r>
    </w:p>
    <w:p/>
    <w:p>
      <w:r>
        <w:rPr>
          <w:rFonts w:ascii="Arial" w:hAnsi="Arial"/>
          <w:b/>
          <w:sz w:val="20"/>
        </w:rPr>
        <w:t>Monika Bremer</w:t>
        <w:br/>
      </w:r>
      <w:r>
        <w:rPr>
          <w:rFonts w:ascii="Arial" w:hAnsi="Arial"/>
          <w:sz w:val="20"/>
        </w:rPr>
        <w:t>Sachbearbeiterin Pflegeleistungen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Pflegegrad_2_Bescheid_04-05-2023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5506A"/>
        <w:sz w:val="20"/>
      </w:rPr>
      <w:t>Nordsee-BKK · Pflegekasse</w:t>
    </w:r>
  </w:p>
  <w:p>
    <w:pPr>
      <w:spacing w:after="0"/>
      <w:pBdr>
        <w:bottom w:val="single" w:sz="8" w:space="3" w:color="15506A"/>
      </w:pBdr>
    </w:pPr>
    <w:r>
      <w:rPr>
        <w:rFonts w:ascii="Arial" w:hAnsi="Arial"/>
        <w:sz w:val="16"/>
      </w:rPr>
      <w:t>Westring 472, 24114 Kiel | Telefon 0431 5800-0 | Team Pflegeleistungen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506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506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5506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die Einstufung in Pflegegrad 2</dc:title>
  <dc:subject/>
  <dc:creator>Nordsee-BKK · Pflegekasse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