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Patient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Olaf Tannenberg, geboren am 17. Februar 1964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Aufnahme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5. August 2024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Entlassung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23. August 2024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Berichtsdatum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24. August 2024</w:t>
            </w:r>
          </w:p>
        </w:tc>
      </w:tr>
    </w:tbl>
    <w:p/>
    <w:p>
      <w:r>
        <w:rPr>
          <w:rFonts w:ascii="Arial" w:hAnsi="Arial"/>
          <w:sz w:val="20"/>
        </w:rPr>
        <w:t>Dr. med. Annette Wallenstein</w:t>
        <w:br/>
      </w:r>
      <w:r>
        <w:rPr>
          <w:rFonts w:ascii="Arial" w:hAnsi="Arial"/>
          <w:sz w:val="20"/>
        </w:rPr>
        <w:t>MS-Schwerpunktpraxis Kiel-Holtenau</w:t>
        <w:br/>
      </w:r>
      <w:r>
        <w:rPr>
          <w:rFonts w:ascii="Arial" w:hAnsi="Arial"/>
          <w:sz w:val="20"/>
        </w:rPr>
        <w:t>Holtenauer Straße 312</w:t>
        <w:br/>
      </w:r>
      <w:r>
        <w:rPr>
          <w:rFonts w:ascii="Arial" w:hAnsi="Arial"/>
          <w:sz w:val="20"/>
        </w:rPr>
        <w:t>24107 Kiel</w:t>
      </w:r>
    </w:p>
    <w:p>
      <w:pPr>
        <w:pStyle w:val="Title"/>
      </w:pPr>
      <w:r>
        <w:t>Reha-Entlassungsbericht und ärztliche Epikrise</w:t>
      </w:r>
    </w:p>
    <w:p>
      <w:r>
        <w:t>Diagnosen</w:t>
      </w:r>
    </w:p>
    <w:p>
      <w:r>
        <w:t>G35 – Multiple Sklerose, schubförmig-progredient (SPMS), EDSS 6,0 bei Aufnahme / 6,5 bei</w:t>
      </w:r>
    </w:p>
    <w:p>
      <w:r>
        <w:t>Entlassung</w:t>
      </w:r>
    </w:p>
    <w:p>
      <w:r>
        <w:t>G81.9 – Hemiparese links, progredient (Schub Juli 2024)</w:t>
      </w:r>
    </w:p>
    <w:p>
      <w:r>
        <w:t>R26.3 – Koordinationsstörung (Ataxie), beinbetont</w:t>
      </w:r>
    </w:p>
    <w:p>
      <w:r>
        <w:t>N31.9 – Neurogene Blasenfunktionsstörung, SIK etabliert</w:t>
      </w:r>
    </w:p>
    <w:p>
      <w:r>
        <w:t>R53.1 – MS-bedingte Fatigue, schwerwiegend</w:t>
      </w:r>
    </w:p>
    <w:p>
      <w:r>
        <w:t>F06.7 – Leichte organisch bedingte kognitive Störung</w:t>
      </w:r>
    </w:p>
    <w:p>
      <w:r>
        <w:t>Z99.3 – Abhängigkeit von Mobilitätshilfsmitteln</w:t>
      </w:r>
    </w:p>
    <w:p>
      <w:r>
        <w:t>Aufnahmebefund und Verlauf</w:t>
      </w:r>
    </w:p>
    <w:p>
      <w:r>
        <w:t>Herr Tannenberg wurde nach stationärer Akutbehandlung im UKSH Kiel (Aufnahme</w:t>
      </w:r>
    </w:p>
    <w:p>
      <w:r>
        <w:t>18.07.2024, Entlassung 03.08.2024) zur neurologischen Rehabilitation in unsere Klinik</w:t>
      </w:r>
    </w:p>
    <w:p>
      <w:r>
        <w:t>verlegt. Anlass war ein akuter MS-Schub mit deutlicher Zunahme der linksseitigen Hemiparese und erheblicher Gangverschlechterung. Bei Aufnahme konnte der Patient mit Rollator noch ca. 25–30 m gehen; im Verlauf der 18-tägigen Rehabilitation stabilisierte sich der Zustand, eine wesentliche Verbesserung der linksseitigen Kraftminderung trat jedoch nicht mehr ein. Bei Entlassung war die maximale Gehstrecke mit Rollator auf unter 20 m reduziert; der EDSS stieg von 6,0 auf 6,5.</w:t>
      </w:r>
    </w:p>
    <w:p>
      <w:r>
        <w:t>Therapeutische Maßnahmen während der Rehabilitation: Physiotherapie (täglich, 2× 30 Min.), Ergotherapie (5× wöchentlich), Logopädie (2× wöchentlich wegen Dysarthrie), Neuropsychologie, Hilfsmittelberatung und -erprobung. Im Rahmen der Hilfsmittelerprobung wurden verschiedene Rollstuhlmodelle getestet (Standard-Rollstuhl und Leichtgewicht-Aktivrollstuhl).</w:t>
      </w:r>
    </w:p>
    <w:p>
      <w:r>
        <w:t>Ergebnis der Hilfsmittelerprobung</w:t>
      </w:r>
    </w:p>
    <w:p>
      <w:r>
        <w:t>Im Rahmen der Ergotherapie (Therapeutin: Mareike Holst, Ergotherapeutin) und in Zusammenarbeit mit dem Sanitätsfachhandel vor Ort wurde eine systematische Rollstuhlerprobung durchgeführt. Ergebnis:</w:t>
      </w:r>
    </w:p>
    <w:p>
      <w:r>
        <w:t>Modell Gewicht Selbstantrieb (links) Bewertung</w:t>
      </w:r>
    </w:p>
    <w:p>
      <w:r>
        <w:t>Standard-Kassenrollstuhl</w:t>
      </w:r>
    </w:p>
    <w:p>
      <w:r>
        <w:t>(Muster SB-46) 17,2 kg Nicht möglich (linke Hand zu schwach) Ungeeignet für Selbstfahren</w:t>
      </w:r>
    </w:p>
    <w:p>
      <w:r>
        <w:t>Leichtgewicht-Rollstuhl</w:t>
      </w:r>
    </w:p>
    <w:p>
      <w:r>
        <w:t>(KM-Reha Tango) 13,4 kg Sehr eingeschränkt (&lt; 5 m) Bedingt geeignet, nicht befriedigend</w:t>
      </w:r>
    </w:p>
    <w:p>
      <w:r>
        <w:t>Aktivrollstuhl</w:t>
      </w:r>
    </w:p>
    <w:p>
      <w:r>
        <w:t>Quickie Helium 8,4 kg Möglich mit Re-Kompensation (bis 30 m eigenständig) Geeignet – empfohlen</w:t>
      </w:r>
    </w:p>
    <w:p>
      <w:r>
        <w:t>Aktivrollstuhl</w:t>
      </w:r>
    </w:p>
    <w:p>
      <w:r>
        <w:t>Ottobock Motus 9,1 kg Möglich mit Re-Kompensation (bis 25 m) Alternative, zweite Wahl</w:t>
      </w:r>
    </w:p>
    <w:p>
      <w:r>
        <w:t>Empfehlungen bei Entlassung</w:t>
      </w:r>
    </w:p>
    <w:p>
      <w:r>
        <w:t>• Hilfsmittel: Antrag auf Leichtgewicht-Aktivrollstuhl (Quickie Helium oder gleichwertig) bei der Krankenkasse stellen. Empfehlung wurde dem Patienten erläutert. Ein Antrag wurde seinerzeit (August 2024) noch nicht gestellt.</w:t>
      </w:r>
    </w:p>
    <w:p>
      <w:r>
        <w:t>• Physiotherapie: Weiterführung ambulant, 2× wöchentlich, Schwerpunkt Rumpfstabilität und Transfertraining • Ergotherapie: Hilfsmittelberatung und -anpassung ambulant, ADL-Training • Logopädie: 1× wöchentlich bei verordnender Hausärztin, Dysarthrietherapie • Medikation: Tecfidera 240 mg 2x/d weiterführen, Baclofen 25 mg/d (Spastik), Amantadin 200 mg/d (Fatigue) • MS-Ambulanz: Halbjährliche Vorstellung bei Dr. Wallenstein, Kiel-Holtenau • Pflegegrad: Ggf. Antrag auf Höherstufung (Pflegegrad 3) empfohlen, wenn Verschlechterung anhält • Kontrolltermin: MRT Schädel nach 6 Monaten</w:t>
      </w:r>
    </w:p>
    <w:p>
      <w:r>
        <w:t>Prognose</w:t>
      </w:r>
    </w:p>
    <w:p>
      <w:r>
        <w:t>Bei primär-progressiver Verlaufskomponente ist eine weitere Verschlechterung des Gangbildes und der Handkraft links zu erwarten. Die derzeitige Erkrankungsphase (EDSS 6,5) ist als irreversibel einzustufen; eine wesentliche Verbesserung der motorischen Funktion ist nicht zu erwarten. Die Versorgung mit einem adäquaten Hilfsmittel ist dauerhaft erforderlich.</w:t>
      </w:r>
    </w:p>
    <w:p>
      <w:r>
        <w:t>Weitergabe nur mit Einwilligung des Patienten.</w:t>
      </w:r>
    </w:p>
    <w:p/>
    <w:p>
      <w:r>
        <w:rPr>
          <w:rFonts w:ascii="Arial" w:hAnsi="Arial"/>
          <w:b/>
          <w:sz w:val="20"/>
        </w:rPr>
        <w:t>Dr. med. Susanne Fincke</w:t>
        <w:br/>
      </w:r>
      <w:r>
        <w:rPr>
          <w:rFonts w:ascii="Arial" w:hAnsi="Arial"/>
          <w:sz w:val="20"/>
        </w:rPr>
        <w:t>Leitende Ärztin Neurologie</w:t>
        <w:br/>
      </w:r>
      <w:r>
        <w:rPr>
          <w:rFonts w:ascii="Arial" w:hAnsi="Arial"/>
          <w:sz w:val="20"/>
        </w:rPr>
        <w:t>Mareike Holst · Ergotherapie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Reha-Bericht_2024_Damp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365E75"/>
        <w:sz w:val="20"/>
      </w:rPr>
      <w:t>Ostseeklinik Damp GmbH · Neurologische Rehabilitation</w:t>
    </w:r>
  </w:p>
  <w:p>
    <w:pPr>
      <w:spacing w:after="0"/>
      <w:pBdr>
        <w:bottom w:val="single" w:sz="8" w:space="3" w:color="365E75"/>
      </w:pBdr>
    </w:pPr>
    <w:r>
      <w:rPr>
        <w:rFonts w:ascii="Arial" w:hAnsi="Arial"/>
        <w:sz w:val="16"/>
      </w:rPr>
      <w:t>Am Seeufer 12, 24351 Damp | Telefon 04352 80-0 | Station Neurologie Süd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E7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E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365E7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Reha-Entlassungsbericht und ärztliche Epikrise</dc:title>
  <dc:subject/>
  <dc:creator>Ostseeklinik Damp GmbH · Neurologische Rehabilitation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