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Fallkonferenz Tannenberg — Workflow und Prüfmatrix</w:t>
      </w:r>
    </w:p>
    <w:p>
      <w:pPr>
        <w:spacing w:before="120" w:after="60" w:line="259" w:lineRule="auto"/>
        <w:jc w:val="left"/>
      </w:pPr>
      <w:r>
        <w:rPr>
          <w:rFonts w:ascii="Times New Roman" w:hAnsi="Times New Roman"/>
          <w:b/>
          <w:sz w:val="22"/>
        </w:rPr>
        <w:t>Aktenstand:</w:t>
      </w:r>
      <w:r>
        <w:rPr>
          <w:rFonts w:ascii="Times New Roman" w:hAnsi="Times New Roman"/>
          <w:b/>
          <w:sz w:val="22"/>
        </w:rPr>
        <w:t xml:space="preserve"> 23.05.2026</w:t>
      </w:r>
    </w:p>
    <w:p>
      <w:pPr>
        <w:spacing w:line="259" w:lineRule="auto" w:after="60"/>
        <w:jc w:val="left"/>
      </w:pPr>
      <w:r>
        <w:rPr>
          <w:b/>
        </w:rPr>
        <w:t>Beteiligte Verfahren:</w:t>
      </w:r>
      <w:r>
        <w:t xml:space="preserve"> Olaf Tannenberg, Lena Tannenberg, Margarete Tannenberg, Bodo Petersen</w:t>
      </w:r>
    </w:p>
    <w:p>
      <w:pPr>
        <w:spacing w:line="259" w:lineRule="auto" w:after="60"/>
        <w:jc w:val="left"/>
      </w:pPr>
      <w:r>
        <w:rPr>
          <w:b/>
        </w:rPr>
        <w:t>Zweck:</w:t>
      </w:r>
      <w:r>
        <w:t xml:space="preserve"> interne Strukturierung für Fristenkontrolle, Widersprüche und mögliche Eilverfahren</w:t>
      </w:r>
    </w:p>
    <w:p>
      <w:pPr>
        <w:pStyle w:val="Heading2"/>
        <w:spacing w:before="120" w:after="60" w:line="259" w:lineRule="auto"/>
      </w:pPr>
      <w:r>
        <w:rPr>
          <w:rFonts w:ascii="Times New Roman" w:hAnsi="Times New Roman"/>
          <w:b/>
          <w:sz w:val="22"/>
        </w:rPr>
        <w:t>1. Gesamtbild</w:t>
      </w:r>
    </w:p>
    <w:p>
      <w:pPr>
        <w:spacing w:line="259" w:lineRule="auto" w:after="60"/>
        <w:jc w:val="left"/>
      </w:pPr>
      <w:r>
        <w:t>Die Familie Tannenberg hat parallel mehrere sozialrechtliche Vorgänge in der Kanzlei. Die Verfahren liegen in verschiedenen Büchern des Sozialgesetzbuchs und betreffen unterschiedliche Behörden. Deshalb ist die erste Aufgabe nicht die Formulierung eines Schriftsatzes, sondern eine saubere Zuordnung nach Mandant, Leistungsträger, Anspruchsgrundlage, Frist und Beweisbedarf.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Mandant</w:t>
            </w:r>
          </w:p>
        </w:tc>
        <w:tc>
          <w:tcPr>
            <w:tcW w:type="dxa" w:w="2268"/>
          </w:tcPr>
          <w:p>
            <w:r>
              <w:rPr>
                <w:rFonts w:ascii="Times New Roman" w:hAnsi="Times New Roman"/>
                <w:b/>
                <w:sz w:val="20"/>
              </w:rPr>
              <w:t>Verfahren</w:t>
            </w:r>
          </w:p>
        </w:tc>
        <w:tc>
          <w:tcPr>
            <w:tcW w:type="dxa" w:w="2268"/>
          </w:tcPr>
          <w:p>
            <w:r>
              <w:rPr>
                <w:rFonts w:ascii="Times New Roman" w:hAnsi="Times New Roman"/>
                <w:b/>
                <w:sz w:val="20"/>
              </w:rPr>
              <w:t>SGB-Bereich</w:t>
            </w:r>
          </w:p>
        </w:tc>
        <w:tc>
          <w:tcPr>
            <w:tcW w:type="dxa" w:w="2268"/>
          </w:tcPr>
          <w:p>
            <w:r>
              <w:rPr>
                <w:rFonts w:ascii="Times New Roman" w:hAnsi="Times New Roman"/>
                <w:b/>
                <w:sz w:val="20"/>
              </w:rPr>
              <w:t>Primäre Aufgabe</w:t>
            </w:r>
          </w:p>
        </w:tc>
      </w:tr>
      <w:tr>
        <w:tc>
          <w:tcPr>
            <w:tcW w:type="dxa" w:w="2268"/>
          </w:tcPr>
          <w:p>
            <w:r>
              <w:rPr>
                <w:rFonts w:ascii="Times New Roman" w:hAnsi="Times New Roman"/>
                <w:sz w:val="20"/>
              </w:rPr>
              <w:t>Olaf Tannenberg</w:t>
            </w:r>
          </w:p>
        </w:tc>
        <w:tc>
          <w:tcPr>
            <w:tcW w:type="dxa" w:w="2268"/>
          </w:tcPr>
          <w:p>
            <w:r>
              <w:rPr>
                <w:rFonts w:ascii="Times New Roman" w:hAnsi="Times New Roman"/>
                <w:sz w:val="20"/>
              </w:rPr>
              <w:t>Aktivrollstuhl-Versorgung</w:t>
            </w:r>
          </w:p>
        </w:tc>
        <w:tc>
          <w:tcPr>
            <w:tcW w:type="dxa" w:w="2268"/>
          </w:tcPr>
          <w:p>
            <w:r>
              <w:rPr>
                <w:rFonts w:ascii="Times New Roman" w:hAnsi="Times New Roman"/>
                <w:sz w:val="20"/>
              </w:rPr>
              <w:t>SGB V</w:t>
            </w:r>
          </w:p>
        </w:tc>
        <w:tc>
          <w:tcPr>
            <w:tcW w:type="dxa" w:w="2268"/>
          </w:tcPr>
          <w:p>
            <w:r>
              <w:rPr>
                <w:rFonts w:ascii="Times New Roman" w:hAnsi="Times New Roman"/>
                <w:sz w:val="20"/>
              </w:rPr>
              <w:t>Hilfsmittelanspruch, Eilbedürftigkeit, ärztliche Begründung</w:t>
            </w:r>
          </w:p>
        </w:tc>
      </w:tr>
      <w:tr>
        <w:tc>
          <w:tcPr>
            <w:tcW w:type="dxa" w:w="2268"/>
          </w:tcPr>
          <w:p>
            <w:r>
              <w:rPr>
                <w:rFonts w:ascii="Times New Roman" w:hAnsi="Times New Roman"/>
                <w:sz w:val="20"/>
              </w:rPr>
              <w:t>Lena Tannenberg</w:t>
            </w:r>
          </w:p>
        </w:tc>
        <w:tc>
          <w:tcPr>
            <w:tcW w:type="dxa" w:w="2268"/>
          </w:tcPr>
          <w:p>
            <w:r>
              <w:rPr>
                <w:rFonts w:ascii="Times New Roman" w:hAnsi="Times New Roman"/>
                <w:sz w:val="20"/>
              </w:rPr>
              <w:t>Schulbegleitung</w:t>
            </w:r>
          </w:p>
        </w:tc>
        <w:tc>
          <w:tcPr>
            <w:tcW w:type="dxa" w:w="2268"/>
          </w:tcPr>
          <w:p>
            <w:r>
              <w:rPr>
                <w:rFonts w:ascii="Times New Roman" w:hAnsi="Times New Roman"/>
                <w:sz w:val="20"/>
              </w:rPr>
              <w:t>SGB VIII / IX</w:t>
            </w:r>
          </w:p>
        </w:tc>
        <w:tc>
          <w:tcPr>
            <w:tcW w:type="dxa" w:w="2268"/>
          </w:tcPr>
          <w:p>
            <w:r>
              <w:rPr>
                <w:rFonts w:ascii="Times New Roman" w:hAnsi="Times New Roman"/>
                <w:sz w:val="20"/>
              </w:rPr>
              <w:t>Teilhabe, Eingliederungshilfe, schulische Stellungnahmen</w:t>
            </w:r>
          </w:p>
        </w:tc>
      </w:tr>
      <w:tr>
        <w:tc>
          <w:tcPr>
            <w:tcW w:type="dxa" w:w="2268"/>
          </w:tcPr>
          <w:p>
            <w:r>
              <w:rPr>
                <w:rFonts w:ascii="Times New Roman" w:hAnsi="Times New Roman"/>
                <w:sz w:val="20"/>
              </w:rPr>
              <w:t>Margarete Tannenberg</w:t>
            </w:r>
          </w:p>
        </w:tc>
        <w:tc>
          <w:tcPr>
            <w:tcW w:type="dxa" w:w="2268"/>
          </w:tcPr>
          <w:p>
            <w:r>
              <w:rPr>
                <w:rFonts w:ascii="Times New Roman" w:hAnsi="Times New Roman"/>
                <w:sz w:val="20"/>
              </w:rPr>
              <w:t>Pflegegrad 3 auf 4</w:t>
            </w:r>
          </w:p>
        </w:tc>
        <w:tc>
          <w:tcPr>
            <w:tcW w:type="dxa" w:w="2268"/>
          </w:tcPr>
          <w:p>
            <w:r>
              <w:rPr>
                <w:rFonts w:ascii="Times New Roman" w:hAnsi="Times New Roman"/>
                <w:sz w:val="20"/>
              </w:rPr>
              <w:t>SGB XI</w:t>
            </w:r>
          </w:p>
        </w:tc>
        <w:tc>
          <w:tcPr>
            <w:tcW w:type="dxa" w:w="2268"/>
          </w:tcPr>
          <w:p>
            <w:r>
              <w:rPr>
                <w:rFonts w:ascii="Times New Roman" w:hAnsi="Times New Roman"/>
                <w:sz w:val="20"/>
              </w:rPr>
              <w:t>Pflegebegutachtung, Modulbewertung, Tagebuch</w:t>
            </w:r>
          </w:p>
        </w:tc>
      </w:tr>
      <w:tr>
        <w:tc>
          <w:tcPr>
            <w:tcW w:type="dxa" w:w="2268"/>
          </w:tcPr>
          <w:p>
            <w:r>
              <w:rPr>
                <w:rFonts w:ascii="Times New Roman" w:hAnsi="Times New Roman"/>
                <w:sz w:val="20"/>
              </w:rPr>
              <w:t>Bodo Petersen</w:t>
            </w:r>
          </w:p>
        </w:tc>
        <w:tc>
          <w:tcPr>
            <w:tcW w:type="dxa" w:w="2268"/>
          </w:tcPr>
          <w:p>
            <w:r>
              <w:rPr>
                <w:rFonts w:ascii="Times New Roman" w:hAnsi="Times New Roman"/>
                <w:sz w:val="20"/>
              </w:rPr>
              <w:t>volle Erwerbsminderungsrente</w:t>
            </w:r>
          </w:p>
        </w:tc>
        <w:tc>
          <w:tcPr>
            <w:tcW w:type="dxa" w:w="2268"/>
          </w:tcPr>
          <w:p>
            <w:r>
              <w:rPr>
                <w:rFonts w:ascii="Times New Roman" w:hAnsi="Times New Roman"/>
                <w:sz w:val="20"/>
              </w:rPr>
              <w:t>SGB VI</w:t>
            </w:r>
          </w:p>
        </w:tc>
        <w:tc>
          <w:tcPr>
            <w:tcW w:type="dxa" w:w="2268"/>
          </w:tcPr>
          <w:p>
            <w:r>
              <w:rPr>
                <w:rFonts w:ascii="Times New Roman" w:hAnsi="Times New Roman"/>
                <w:sz w:val="20"/>
              </w:rPr>
              <w:t>Leistungsvermögen, Reha-Berichte, Arbeitsmarktlage</w:t>
            </w:r>
          </w:p>
        </w:tc>
      </w:tr>
    </w:tbl>
    <w:p>
      <w:pPr>
        <w:pStyle w:val="Heading2"/>
        <w:spacing w:before="120" w:after="60" w:line="259" w:lineRule="auto"/>
      </w:pPr>
      <w:r>
        <w:rPr>
          <w:rFonts w:ascii="Times New Roman" w:hAnsi="Times New Roman"/>
          <w:b/>
          <w:sz w:val="22"/>
        </w:rPr>
        <w:t>2. Sofort-Triage</w:t>
      </w:r>
    </w:p>
    <w:p>
      <w:pPr>
        <w:pStyle w:val="ListNumber"/>
        <w:spacing w:line="259" w:lineRule="auto" w:after="60"/>
      </w:pPr>
      <w:r>
        <w:t>Jeden Bescheid mit Zustellungsdatum erfassen.</w:t>
      </w:r>
    </w:p>
    <w:p>
      <w:pPr>
        <w:pStyle w:val="ListNumber"/>
        <w:spacing w:line="259" w:lineRule="auto" w:after="60"/>
      </w:pPr>
      <w:r>
        <w:t>Monatsfrist nach Paragraf 84 SGG und Zugangsfiktion Paragraf 37 SGB X prüfen.</w:t>
      </w:r>
    </w:p>
    <w:p>
      <w:pPr>
        <w:pStyle w:val="ListNumber"/>
        <w:spacing w:line="259" w:lineRule="auto" w:after="60"/>
      </w:pPr>
      <w:r>
        <w:t>Friststatus rot/gelb/grün dokumentieren.</w:t>
      </w:r>
    </w:p>
    <w:p>
      <w:pPr>
        <w:pStyle w:val="ListNumber"/>
        <w:spacing w:line="259" w:lineRule="auto" w:after="60"/>
      </w:pPr>
      <w:r>
        <w:t>Fehlt eine Begründung: fristwahrenden Widerspruch sofort sichern.</w:t>
      </w:r>
    </w:p>
    <w:p>
      <w:pPr>
        <w:pStyle w:val="ListNumber"/>
        <w:spacing w:line="259" w:lineRule="auto" w:after="60"/>
      </w:pPr>
      <w:r>
        <w:t>Bei Olaf zusätzlich Eilrechtsschutz prüfen, weil das Hilfsmittel den Alltag unmittelbar betrifft.</w:t>
      </w:r>
    </w:p>
    <w:p>
      <w:pPr>
        <w:pStyle w:val="Heading2"/>
        <w:spacing w:line="259" w:lineRule="auto" w:after="60"/>
      </w:pPr>
      <w:r>
        <w:rPr>
          <w:rFonts w:ascii="Times New Roman" w:hAnsi="Times New Roman"/>
        </w:rPr>
        <w:t>3. Prüfaufträge je Verfahren</w:t>
      </w:r>
    </w:p>
    <w:p>
      <w:pPr>
        <w:pStyle w:val="Heading3"/>
        <w:spacing w:line="259" w:lineRule="auto" w:after="60"/>
      </w:pPr>
      <w:r>
        <w:rPr>
          <w:rFonts w:ascii="Times New Roman" w:hAnsi="Times New Roman"/>
        </w:rPr>
        <w:t>Olaf Tannenberg — Hilfsmittel</w:t>
      </w:r>
    </w:p>
    <w:p>
      <w:pPr>
        <w:pStyle w:val="ListBullet"/>
        <w:spacing w:line="259" w:lineRule="auto" w:after="60"/>
      </w:pPr>
      <w:r>
        <w:t>Attest Dr. Wallenstein gegen die Begründung der Krankenkasse legen.</w:t>
      </w:r>
    </w:p>
    <w:p>
      <w:pPr>
        <w:pStyle w:val="ListBullet"/>
        <w:spacing w:line="259" w:lineRule="auto" w:after="60"/>
      </w:pPr>
      <w:r>
        <w:t>Prüfen, ob die Kasse den konkreten Behinderungsausgleich oder nur einen Standardrollator betrachtet.</w:t>
      </w:r>
    </w:p>
    <w:p>
      <w:pPr>
        <w:pStyle w:val="ListBullet"/>
        <w:spacing w:line="259" w:lineRule="auto" w:after="60"/>
      </w:pPr>
      <w:r>
        <w:t>Sturzrisiko, MS-Schübe und Wohnumfeld als Tatsachengrundlage herausarbeiten.</w:t>
      </w:r>
    </w:p>
    <w:p>
      <w:pPr>
        <w:pStyle w:val="ListBullet"/>
        <w:spacing w:line="259" w:lineRule="auto" w:after="60"/>
      </w:pPr>
      <w:r>
        <w:t>Eilantrag nach Paragraf 86b SGG vorbereiten, wenn Versorgungslücke fortbesteht.</w:t>
      </w:r>
    </w:p>
    <w:p>
      <w:pPr>
        <w:pStyle w:val="Heading3"/>
        <w:spacing w:line="259" w:lineRule="auto" w:after="60"/>
      </w:pPr>
      <w:r>
        <w:rPr>
          <w:rFonts w:ascii="Times New Roman" w:hAnsi="Times New Roman"/>
        </w:rPr>
        <w:t>Lena Tannenberg — Schulbegleitung</w:t>
      </w:r>
    </w:p>
    <w:p>
      <w:pPr>
        <w:pStyle w:val="ListBullet"/>
        <w:spacing w:line="259" w:lineRule="auto" w:after="60"/>
      </w:pPr>
      <w:r>
        <w:t>Diagnose, KJP-Stellungnahme und Schulgutachten nebeneinander auswerten.</w:t>
      </w:r>
    </w:p>
    <w:p>
      <w:pPr>
        <w:pStyle w:val="ListBullet"/>
        <w:spacing w:line="259" w:lineRule="auto" w:after="60"/>
      </w:pPr>
      <w:r>
        <w:t>Argument "gute Noten" vom Teilhabebedarf trennen.</w:t>
      </w:r>
    </w:p>
    <w:p>
      <w:pPr>
        <w:pStyle w:val="ListBullet"/>
        <w:spacing w:line="259" w:lineRule="auto" w:after="60"/>
      </w:pPr>
      <w:r>
        <w:t>Selbstgefährdungs- und Belastungslage behutsam, aber konkret belegen.</w:t>
      </w:r>
    </w:p>
    <w:p>
      <w:pPr>
        <w:pStyle w:val="ListBullet"/>
        <w:spacing w:line="259" w:lineRule="auto" w:after="60"/>
      </w:pPr>
      <w:r>
        <w:t>Jugendamt und Eingliederungshilfezuständigkeit sauber auseinanderhalten.</w:t>
      </w:r>
    </w:p>
    <w:p>
      <w:pPr>
        <w:pStyle w:val="Heading3"/>
        <w:spacing w:line="259" w:lineRule="auto" w:after="60"/>
      </w:pPr>
      <w:r>
        <w:rPr>
          <w:rFonts w:ascii="Times New Roman" w:hAnsi="Times New Roman"/>
        </w:rPr>
        <w:t>Margarete Tannenberg — Pflegegrad</w:t>
      </w:r>
    </w:p>
    <w:p>
      <w:pPr>
        <w:pStyle w:val="ListBullet"/>
        <w:spacing w:line="259" w:lineRule="auto" w:after="60"/>
      </w:pPr>
      <w:r>
        <w:t>Pflegetagebuch mit MD-Gutachten abgleichen.</w:t>
      </w:r>
    </w:p>
    <w:p>
      <w:pPr>
        <w:pStyle w:val="ListBullet"/>
        <w:spacing w:line="259" w:lineRule="auto" w:after="60"/>
      </w:pPr>
      <w:r>
        <w:t>Modul 1 nach Schenkelhalsfraktur und Mobilität besonders prüfen.</w:t>
      </w:r>
    </w:p>
    <w:p>
      <w:pPr>
        <w:pStyle w:val="ListBullet"/>
        <w:spacing w:line="259" w:lineRule="auto" w:after="60"/>
      </w:pPr>
      <w:r>
        <w:t>Aphasie und fehlende Eigenangaben als Beweiswürdigungsproblem markieren.</w:t>
      </w:r>
    </w:p>
    <w:p>
      <w:pPr>
        <w:pStyle w:val="ListBullet"/>
        <w:spacing w:line="259" w:lineRule="auto" w:after="60"/>
      </w:pPr>
      <w:r>
        <w:t>Höherstufungsbegründung möglichst zahlen- und zeitnah fassen.</w:t>
      </w:r>
    </w:p>
    <w:p>
      <w:pPr>
        <w:pStyle w:val="Heading3"/>
        <w:spacing w:line="259" w:lineRule="auto" w:after="60"/>
      </w:pPr>
      <w:r>
        <w:rPr>
          <w:rFonts w:ascii="Times New Roman" w:hAnsi="Times New Roman"/>
        </w:rPr>
        <w:t>Bodo Petersen — Erwerbsminderungsrente</w:t>
      </w:r>
    </w:p>
    <w:p>
      <w:pPr>
        <w:pStyle w:val="ListBullet"/>
        <w:spacing w:line="259" w:lineRule="auto" w:after="60"/>
      </w:pPr>
      <w:r>
        <w:t>DRV-Gutachten mit Reha-Bericht Bad Bramstedt 2024 vergleichen.</w:t>
      </w:r>
    </w:p>
    <w:p>
      <w:pPr>
        <w:pStyle w:val="ListBullet"/>
        <w:spacing w:line="259" w:lineRule="auto" w:after="60"/>
      </w:pPr>
      <w:r>
        <w:t>Schmerz, Depression und körperliche Belastbarkeit zusammen bewerten.</w:t>
      </w:r>
    </w:p>
    <w:p>
      <w:pPr>
        <w:pStyle w:val="ListBullet"/>
        <w:spacing w:line="259" w:lineRule="auto" w:after="60"/>
      </w:pPr>
      <w:r>
        <w:t>Arbeitsmarktrente und Berufsschutzfragen gesondert prüfen.</w:t>
      </w:r>
    </w:p>
    <w:p>
      <w:pPr>
        <w:pStyle w:val="ListBullet"/>
        <w:spacing w:line="259" w:lineRule="auto" w:after="60"/>
      </w:pPr>
      <w:r>
        <w:t>PKH-Unterlagen parallel vorbereiten.</w:t>
      </w:r>
    </w:p>
    <w:p>
      <w:pPr>
        <w:pStyle w:val="Heading2"/>
        <w:spacing w:line="259" w:lineRule="auto" w:after="60"/>
      </w:pPr>
      <w:r>
        <w:rPr>
          <w:rFonts w:ascii="Times New Roman" w:hAnsi="Times New Roman"/>
        </w:rPr>
        <w:t>4. Kanzleiablauf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Fristenliste aktualisieren</w:t>
            </w:r>
          </w:p>
        </w:tc>
        <w:tc>
          <w:tcPr>
            <w:tcW w:type="dxa" w:w="4536"/>
          </w:tcPr>
          <w:p>
            <w:r>
              <w:rPr>
                <w:rFonts w:ascii="Times New Roman" w:hAnsi="Times New Roman"/>
                <w:sz w:val="20"/>
              </w:rPr>
              <w:t>eine Frist pro Bescheid plus Wiedervorlage Begründung</w:t>
            </w:r>
          </w:p>
        </w:tc>
      </w:tr>
      <w:tr>
        <w:tc>
          <w:tcPr>
            <w:tcW w:type="dxa" w:w="4536"/>
          </w:tcPr>
          <w:p>
            <w:r>
              <w:rPr>
                <w:rFonts w:ascii="Times New Roman" w:hAnsi="Times New Roman"/>
                <w:sz w:val="20"/>
              </w:rPr>
              <w:t>Anlagen sortieren</w:t>
            </w:r>
          </w:p>
        </w:tc>
        <w:tc>
          <w:tcPr>
            <w:tcW w:type="dxa" w:w="4536"/>
          </w:tcPr>
          <w:p>
            <w:r>
              <w:rPr>
                <w:rFonts w:ascii="Times New Roman" w:hAnsi="Times New Roman"/>
                <w:sz w:val="20"/>
              </w:rPr>
              <w:t>Bescheid, Gutachten, Attest, Mandantennotiz, Belege</w:t>
            </w:r>
          </w:p>
        </w:tc>
      </w:tr>
      <w:tr>
        <w:tc>
          <w:tcPr>
            <w:tcW w:type="dxa" w:w="4536"/>
          </w:tcPr>
          <w:p>
            <w:r>
              <w:rPr>
                <w:rFonts w:ascii="Times New Roman" w:hAnsi="Times New Roman"/>
                <w:sz w:val="20"/>
              </w:rPr>
              <w:t>Erstentwürfe erstellen</w:t>
            </w:r>
          </w:p>
        </w:tc>
        <w:tc>
          <w:tcPr>
            <w:tcW w:type="dxa" w:w="4536"/>
          </w:tcPr>
          <w:p>
            <w:r>
              <w:rPr>
                <w:rFonts w:ascii="Times New Roman" w:hAnsi="Times New Roman"/>
                <w:sz w:val="20"/>
              </w:rPr>
              <w:t>Widerspruch, Eilantrag Olaf, Mandantenbrief</w:t>
            </w:r>
          </w:p>
        </w:tc>
      </w:tr>
      <w:tr>
        <w:tc>
          <w:tcPr>
            <w:tcW w:type="dxa" w:w="4536"/>
          </w:tcPr>
          <w:p>
            <w:r>
              <w:rPr>
                <w:rFonts w:ascii="Times New Roman" w:hAnsi="Times New Roman"/>
                <w:sz w:val="20"/>
              </w:rPr>
              <w:t>Mandantensprache glätten</w:t>
            </w:r>
          </w:p>
        </w:tc>
        <w:tc>
          <w:tcPr>
            <w:tcW w:type="dxa" w:w="4536"/>
          </w:tcPr>
          <w:p>
            <w:r>
              <w:rPr>
                <w:rFonts w:ascii="Times New Roman" w:hAnsi="Times New Roman"/>
                <w:sz w:val="20"/>
              </w:rPr>
              <w:t>kurze Erklärung je Verfahren in einfacher Sprache</w:t>
            </w:r>
          </w:p>
        </w:tc>
      </w:tr>
      <w:tr>
        <w:tc>
          <w:tcPr>
            <w:tcW w:type="dxa" w:w="4536"/>
          </w:tcPr>
          <w:p>
            <w:r>
              <w:rPr>
                <w:rFonts w:ascii="Times New Roman" w:hAnsi="Times New Roman"/>
                <w:sz w:val="20"/>
              </w:rPr>
              <w:t>Strategie bündeln</w:t>
            </w:r>
          </w:p>
        </w:tc>
        <w:tc>
          <w:tcPr>
            <w:tcW w:type="dxa" w:w="4536"/>
          </w:tcPr>
          <w:p>
            <w:r>
              <w:rPr>
                <w:rFonts w:ascii="Times New Roman" w:hAnsi="Times New Roman"/>
                <w:sz w:val="20"/>
              </w:rPr>
              <w:t>eine Familienübersicht ohne Vermischung der Verfahren</w:t>
            </w:r>
          </w:p>
        </w:tc>
      </w:tr>
    </w:tbl>
    <w:p>
      <w:pPr>
        <w:pStyle w:val="Heading2"/>
        <w:spacing w:line="259" w:lineRule="auto" w:after="60"/>
      </w:pPr>
      <w:r>
        <w:rPr>
          <w:rFonts w:ascii="Times New Roman" w:hAnsi="Times New Roman"/>
        </w:rPr>
        <w:t>5. Offene Entscheidungen</w:t>
      </w:r>
    </w:p>
    <w:p>
      <w:pPr>
        <w:pStyle w:val="ListBullet"/>
        <w:spacing w:line="259" w:lineRule="auto" w:after="60"/>
      </w:pPr>
      <w:r>
        <w:t>Olaf: Sofortiger Eilantrag oder erst beschleunigte Kassenentscheidung nachfordern?</w:t>
      </w:r>
    </w:p>
    <w:p>
      <w:pPr>
        <w:pStyle w:val="ListBullet"/>
        <w:spacing w:line="259" w:lineRule="auto" w:after="60"/>
      </w:pPr>
      <w:r>
        <w:t>Lena: Zusätzliche Schulstellungnahme oder kinder- und jugendpsychiatrische Ergänzung?</w:t>
      </w:r>
    </w:p>
    <w:p>
      <w:pPr>
        <w:pStyle w:val="ListBullet"/>
        <w:spacing w:line="259" w:lineRule="auto" w:after="60"/>
      </w:pPr>
      <w:r>
        <w:t>Margarete: Pflegeberatung einschalten und Tagebuch nachführen lassen?</w:t>
      </w:r>
    </w:p>
    <w:p>
      <w:pPr>
        <w:pStyle w:val="ListBullet"/>
        <w:spacing w:line="259" w:lineRule="auto" w:after="60"/>
      </w:pPr>
      <w:r>
        <w:t>Bodo: Fachärztliches Zusatzattest vor Widerspruchsbegründung einholen?</w:t>
      </w:r>
    </w:p>
    <w:p>
      <w:pPr>
        <w:pStyle w:val="Heading2"/>
        <w:spacing w:line="259" w:lineRule="auto" w:after="60"/>
      </w:pPr>
      <w:r>
        <w:rPr>
          <w:rFonts w:ascii="Times New Roman" w:hAnsi="Times New Roman"/>
        </w:rPr>
        <w:t>6. Schlussnotiz</w:t>
      </w:r>
    </w:p>
    <w:p>
      <w:pPr>
        <w:spacing w:line="259" w:lineRule="auto" w:after="60"/>
        <w:jc w:val="left"/>
      </w:pPr>
      <w:r>
        <w:t>Die Verfahren dürfen nicht in einer Sammelklage vermischt werden. Effizient ist aber eine gemeinsame Kanzleimatrix: gleicher Fristenstandard, gleiche Anlagenlogik, gleiche Verständlichkeitsstufe in Mandantenbriefen und eine klare Trennung der Leistungsträger.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