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Versicherte</w:t>
            </w:r>
          </w:p>
        </w:tc>
        <w:tc>
          <w:tcPr>
            <w:tcW w:type="dxa" w:w="3402"/>
            <w:vAlign w:val="center"/>
          </w:tcPr>
          <w:p>
            <w:r>
              <w:rPr>
                <w:rFonts w:ascii="Arial" w:hAnsi="Arial"/>
                <w:sz w:val="17"/>
              </w:rPr>
              <w:t>Irmgard Pahl</w:t>
            </w:r>
          </w:p>
        </w:tc>
      </w:tr>
      <w:tr>
        <w:tc>
          <w:tcPr>
            <w:tcW w:type="dxa" w:w="1984"/>
            <w:vAlign w:val="center"/>
          </w:tcPr>
          <w:p>
            <w:r>
              <w:rPr>
                <w:rFonts w:ascii="Arial" w:hAnsi="Arial"/>
                <w:b/>
                <w:sz w:val="17"/>
              </w:rPr>
              <w:t>Hausbesuch</w:t>
            </w:r>
          </w:p>
        </w:tc>
        <w:tc>
          <w:tcPr>
            <w:tcW w:type="dxa" w:w="3402"/>
            <w:vAlign w:val="center"/>
          </w:tcPr>
          <w:p>
            <w:r>
              <w:rPr>
                <w:rFonts w:ascii="Arial" w:hAnsi="Arial"/>
                <w:sz w:val="17"/>
              </w:rPr>
              <w:t>9. September 2024, 10:15 Uhr</w:t>
            </w:r>
          </w:p>
        </w:tc>
      </w:tr>
      <w:tr>
        <w:tc>
          <w:tcPr>
            <w:tcW w:type="dxa" w:w="1984"/>
            <w:vAlign w:val="center"/>
          </w:tcPr>
          <w:p>
            <w:r>
              <w:rPr>
                <w:rFonts w:ascii="Arial" w:hAnsi="Arial"/>
                <w:b/>
                <w:sz w:val="17"/>
              </w:rPr>
              <w:t>Gutachterin</w:t>
            </w:r>
          </w:p>
        </w:tc>
        <w:tc>
          <w:tcPr>
            <w:tcW w:type="dxa" w:w="3402"/>
            <w:vAlign w:val="center"/>
          </w:tcPr>
          <w:p>
            <w:r>
              <w:rPr>
                <w:rFonts w:ascii="Arial" w:hAnsi="Arial"/>
                <w:sz w:val="17"/>
              </w:rPr>
              <w:t>Petra Mielke</w:t>
            </w:r>
          </w:p>
        </w:tc>
      </w:tr>
    </w:tbl>
    <w:p/>
    <w:p>
      <w:pPr>
        <w:pStyle w:val="Title"/>
      </w:pPr>
      <w:r>
        <w:t>Pflegefachliches Gutachten nach Hausbesuch</w:t>
      </w:r>
    </w:p>
    <w:p>
      <w:r>
        <w:t>Frau Pahl wurde in ihrer Wohnung im Beisein der Tochter Beate Willer begutachtet. Sie nutzt im Innenbereich einen Gehstock, benötigt beim Aufstehen gelegentlich Unterstützung und kann die drei Stufen am Hauseingang nicht ohne personelle Hilfe überwinden.</w:t>
      </w:r>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2E5B62"/>
          </w:tcPr>
          <w:p>
            <w:r>
              <w:rPr>
                <w:rFonts w:ascii="Arial" w:hAnsi="Arial"/>
                <w:b/>
                <w:color w:val="FFFFFF"/>
                <w:sz w:val="17"/>
              </w:rPr>
              <w:t>Kriterium</w:t>
            </w:r>
          </w:p>
        </w:tc>
        <w:tc>
          <w:tcPr>
            <w:tcW w:type="dxa" w:w="4762"/>
            <w:vAlign w:val="center"/>
            <w:shd w:fill="2E5B62"/>
          </w:tcPr>
          <w:p>
            <w:r>
              <w:rPr>
                <w:rFonts w:ascii="Arial" w:hAnsi="Arial"/>
                <w:b/>
                <w:color w:val="FFFFFF"/>
                <w:sz w:val="17"/>
              </w:rPr>
              <w:t>Bewertung</w:t>
            </w:r>
          </w:p>
        </w:tc>
      </w:tr>
      <w:tr>
        <w:tc>
          <w:tcPr>
            <w:tcW w:type="dxa" w:w="4762"/>
            <w:vAlign w:val="center"/>
          </w:tcPr>
          <w:p>
            <w:r>
              <w:rPr>
                <w:rFonts w:ascii="Arial" w:hAnsi="Arial"/>
                <w:sz w:val="17"/>
              </w:rPr>
              <w:t>Positionswechsel im Bett</w:t>
            </w:r>
          </w:p>
        </w:tc>
        <w:tc>
          <w:tcPr>
            <w:tcW w:type="dxa" w:w="4762"/>
            <w:vAlign w:val="center"/>
          </w:tcPr>
          <w:p>
            <w:r>
              <w:rPr>
                <w:rFonts w:ascii="Arial" w:hAnsi="Arial"/>
                <w:sz w:val="17"/>
              </w:rPr>
              <w:t>überwiegend selbstständig</w:t>
            </w:r>
          </w:p>
        </w:tc>
      </w:tr>
      <w:tr>
        <w:tc>
          <w:tcPr>
            <w:tcW w:type="dxa" w:w="4762"/>
            <w:vAlign w:val="center"/>
          </w:tcPr>
          <w:p>
            <w:r>
              <w:rPr>
                <w:rFonts w:ascii="Arial" w:hAnsi="Arial"/>
                <w:sz w:val="17"/>
              </w:rPr>
              <w:t>stabile Sitzposition</w:t>
            </w:r>
          </w:p>
        </w:tc>
        <w:tc>
          <w:tcPr>
            <w:tcW w:type="dxa" w:w="4762"/>
            <w:vAlign w:val="center"/>
          </w:tcPr>
          <w:p>
            <w:r>
              <w:rPr>
                <w:rFonts w:ascii="Arial" w:hAnsi="Arial"/>
                <w:sz w:val="17"/>
              </w:rPr>
              <w:t>selbstständig</w:t>
            </w:r>
          </w:p>
        </w:tc>
      </w:tr>
      <w:tr>
        <w:tc>
          <w:tcPr>
            <w:tcW w:type="dxa" w:w="4762"/>
            <w:vAlign w:val="center"/>
          </w:tcPr>
          <w:p>
            <w:r>
              <w:rPr>
                <w:rFonts w:ascii="Arial" w:hAnsi="Arial"/>
                <w:sz w:val="17"/>
              </w:rPr>
              <w:t>Umsetzen</w:t>
            </w:r>
          </w:p>
        </w:tc>
        <w:tc>
          <w:tcPr>
            <w:tcW w:type="dxa" w:w="4762"/>
            <w:vAlign w:val="center"/>
          </w:tcPr>
          <w:p>
            <w:r>
              <w:rPr>
                <w:rFonts w:ascii="Arial" w:hAnsi="Arial"/>
                <w:sz w:val="17"/>
              </w:rPr>
              <w:t>überwiegend selbstständig</w:t>
            </w:r>
          </w:p>
        </w:tc>
      </w:tr>
      <w:tr>
        <w:tc>
          <w:tcPr>
            <w:tcW w:type="dxa" w:w="4762"/>
            <w:vAlign w:val="center"/>
          </w:tcPr>
          <w:p>
            <w:r>
              <w:rPr>
                <w:rFonts w:ascii="Arial" w:hAnsi="Arial"/>
                <w:sz w:val="17"/>
              </w:rPr>
              <w:t>Fortbewegen im Wohnbereich</w:t>
            </w:r>
          </w:p>
        </w:tc>
        <w:tc>
          <w:tcPr>
            <w:tcW w:type="dxa" w:w="4762"/>
            <w:vAlign w:val="center"/>
          </w:tcPr>
          <w:p>
            <w:r>
              <w:rPr>
                <w:rFonts w:ascii="Arial" w:hAnsi="Arial"/>
                <w:sz w:val="17"/>
              </w:rPr>
              <w:t>überwiegend selbstständig mit Gehstock</w:t>
            </w:r>
          </w:p>
        </w:tc>
      </w:tr>
      <w:tr>
        <w:tc>
          <w:tcPr>
            <w:tcW w:type="dxa" w:w="4762"/>
            <w:vAlign w:val="center"/>
          </w:tcPr>
          <w:p>
            <w:r>
              <w:rPr>
                <w:rFonts w:ascii="Arial" w:hAnsi="Arial"/>
                <w:sz w:val="17"/>
              </w:rPr>
              <w:t>Treppensteigen</w:t>
            </w:r>
          </w:p>
        </w:tc>
        <w:tc>
          <w:tcPr>
            <w:tcW w:type="dxa" w:w="4762"/>
            <w:vAlign w:val="center"/>
          </w:tcPr>
          <w:p>
            <w:r>
              <w:rPr>
                <w:rFonts w:ascii="Arial" w:hAnsi="Arial"/>
                <w:sz w:val="17"/>
              </w:rPr>
              <w:t>unselbstständig</w:t>
            </w:r>
          </w:p>
        </w:tc>
      </w:tr>
    </w:tbl>
    <w:p/>
    <w:p>
      <w:r>
        <w:t>Die Einschränkungen beruhen vor allem auf beidseitiger Gonarthrose, Schwindelattacken und unsicherem Stand. Treppensteigen ist unselbstständig; außerhalb der Wohnung vermeidet die Versicherte Wege ohne Begleitung.</w:t>
      </w:r>
    </w:p>
    <w:p>
      <w:r>
        <w:t>Empfohlen werden Beratung zu wohnumfeldverbessernden Maßnahmen am Hauseingang, Überprüfung des Handlaufs und Sturzprophylaxe. Eine bestimmte Rampenbauart wurde im Termin nicht geplant. Der Hilfebedarf in den übrigen Modulen ergibt in der Gesamtbewertung Pflegegrad 3.</w:t>
      </w:r>
    </w:p>
    <w:p/>
    <w:p>
      <w:r>
        <w:rPr>
          <w:rFonts w:ascii="Arial" w:hAnsi="Arial"/>
          <w:b/>
          <w:sz w:val="20"/>
        </w:rPr>
        <w:t>Petra Mielke</w:t>
        <w:br/>
      </w:r>
      <w:r>
        <w:rPr>
          <w:rFonts w:ascii="Arial" w:hAnsi="Arial"/>
          <w:sz w:val="20"/>
        </w:rPr>
        <w:t>Pflegefachkraft · Gutachterin</w:t>
        <w:br/>
      </w:r>
      <w:r>
        <w:rPr>
          <w:rFonts w:ascii="Arial" w:hAnsi="Arial"/>
          <w:sz w:val="20"/>
        </w:rPr>
        <w:t>Fachliche Freigabe: Dr. S. Neuhaus</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02b_md_pflegegutachten_2024-09-11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E5B62"/>
        <w:sz w:val="20"/>
      </w:rPr>
      <w:t>Medizinischer Dienst Berlin-Brandenburg</w:t>
    </w:r>
  </w:p>
  <w:p>
    <w:pPr>
      <w:spacing w:after="0"/>
      <w:pBdr>
        <w:bottom w:val="single" w:sz="8" w:space="3" w:color="2E5B62"/>
      </w:pBdr>
    </w:pPr>
    <w:r>
      <w:rPr>
        <w:rFonts w:ascii="Arial" w:hAnsi="Arial"/>
        <w:sz w:val="16"/>
      </w:rPr>
      <w:t>Lise-Meitner-Straße 11, 10589 Berlin | Regionalstelle Prignitz | Vorgang MD-24-771204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B6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B6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E5B6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Pflegefachliches Gutachten nach Hausbesuch</dc:title>
  <dc:subject/>
  <dc:creator>Medizinischer Dienst Berlin-Brandenburg</dc:creator>
  <cp:keywords/>
  <dc:description>generated by python-docx</dc:description>
  <cp:lastModifiedBy/>
  <cp:revision>1</cp:revision>
  <dcterms:created xsi:type="dcterms:W3CDTF">2013-12-23T23:15:00Z</dcterms:created>
  <dcterms:modified xsi:type="dcterms:W3CDTF">2013-12-23T23:15:00Z</dcterms:modified>
  <cp:category/>
</cp:coreProperties>
</file>