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Mandantin</w:t>
            </w:r>
          </w:p>
        </w:tc>
        <w:tc>
          <w:tcPr>
            <w:tcW w:type="dxa" w:w="3402"/>
            <w:vAlign w:val="center"/>
          </w:tcPr>
          <w:p>
            <w:r>
              <w:rPr>
                <w:rFonts w:ascii="Arial" w:hAnsi="Arial"/>
                <w:sz w:val="17"/>
              </w:rPr>
              <w:t>Irmgard Pahl</w:t>
            </w:r>
          </w:p>
        </w:tc>
      </w:tr>
      <w:tr>
        <w:tc>
          <w:tcPr>
            <w:tcW w:type="dxa" w:w="1984"/>
            <w:vAlign w:val="center"/>
          </w:tcPr>
          <w:p>
            <w:r>
              <w:rPr>
                <w:rFonts w:ascii="Arial" w:hAnsi="Arial"/>
                <w:b/>
                <w:sz w:val="17"/>
              </w:rPr>
              <w:t>Datum</w:t>
            </w:r>
          </w:p>
        </w:tc>
        <w:tc>
          <w:tcPr>
            <w:tcW w:type="dxa" w:w="3402"/>
            <w:vAlign w:val="center"/>
          </w:tcPr>
          <w:p>
            <w:r>
              <w:rPr>
                <w:rFonts w:ascii="Arial" w:hAnsi="Arial"/>
                <w:sz w:val="17"/>
              </w:rPr>
              <w:t>6. Juli 2026</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2026-77-PA/ah</w:t>
            </w:r>
          </w:p>
        </w:tc>
      </w:tr>
    </w:tbl>
    <w:p/>
    <w:p>
      <w:pPr>
        <w:pStyle w:val="Title"/>
      </w:pPr>
      <w:r>
        <w:t>Aktenvermerk zur Eilbedürftigkeit</w:t>
      </w:r>
    </w:p>
    <w:p>
      <w:r>
        <w:t>Frau Pahl kann das Haus ohne Hilfe derzeit nicht sicher verlassen. Der nächste orthopädische Termin ist am 19. Juli, der Hausarzttermin am 24. Juli. Drei Stürze an den Außenstufen sind dokumentiert; der Vorfall vom 12. Januar führte zu einer behandelten Platzwunde.</w:t>
      </w:r>
    </w:p>
    <w:p>
      <w:r>
        <w:t>Für einen gerichtlichen Eilantrag wären aktuelle Dringlichkeit, konkrete Terminfolgen und fehlende zumutbare Zwischenlösungen glaubhaft zu machen. Die bloße Dauer des Hauptsacheverfahrens genügt nicht. Zu klären ist insbesondere, ob vorübergehend ein Fahrdienst oder personelle Hilfe verlässlich verfügbar ist.</w:t>
      </w:r>
    </w:p>
    <w:p>
      <w:r>
        <w:t>Beweisquellen sind ärztliche Stellungnahme, Sturzliste, Fotos der Eingangssituation, Ortsterminprotokoll und Erklärung der Tochter. Der technische Vergleich muss Gewicht und Bedienbarkeit der mobilen Schienen einbeziehen.</w:t>
      </w:r>
    </w:p>
    <w:p>
      <w:r>
        <w:t>Vor Entscheidung über einen Eilantrag wird der Pflegekasse eine kurze Frist zur Abhilfe oder zum gemeinsamen Ortstermin gesetzt. Wiedervorlage 12. Juli 2026.</w:t>
      </w:r>
    </w:p>
    <w:p/>
    <w:p>
      <w:r>
        <w:rPr>
          <w:rFonts w:ascii="Arial" w:hAnsi="Arial"/>
          <w:b/>
          <w:sz w:val="20"/>
        </w:rPr>
        <w:t>Gesine Ahrend</w:t>
        <w:br/>
      </w:r>
      <w:r>
        <w:rPr>
          <w:rFonts w:ascii="Arial" w:hAnsi="Arial"/>
          <w:sz w:val="20"/>
        </w:rPr>
        <w:t>Rechtsanwältin · 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08a_kanzleivermerk_eilbedürftigkeit_rampe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Ahrend Rechtsanwälte</w:t>
    </w:r>
  </w:p>
  <w:p>
    <w:pPr>
      <w:spacing w:after="0"/>
      <w:pBdr>
        <w:bottom w:val="single" w:sz="8" w:space="3" w:color="4C2F38"/>
      </w:pBdr>
    </w:pPr>
    <w:r>
      <w:rPr>
        <w:rFonts w:ascii="Arial" w:hAnsi="Arial"/>
        <w:sz w:val="16"/>
      </w:rPr>
      <w:t>Perleberger Straße 21, 19322 Wittenberge | Telefon 03877 564 12-0 | Telefax 03877 564 12-19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Aktenvermerk zur Eilbedürftigkeit</dc:title>
  <dc:subject/>
  <dc:creator>Ahrend Rechtsanwälte</dc:creator>
  <cp:keywords/>
  <dc:description>generated by python-docx</dc:description>
  <cp:lastModifiedBy/>
  <cp:revision>1</cp:revision>
  <dcterms:created xsi:type="dcterms:W3CDTF">2013-12-23T23:15:00Z</dcterms:created>
  <dcterms:modified xsi:type="dcterms:W3CDTF">2013-12-23T23:15:00Z</dcterms:modified>
  <cp:category/>
</cp:coreProperties>
</file>