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Mandatsnotiz Klingenhain Musikschule</w:t>
      </w:r>
    </w:p>
    <w:p>
      <w:pPr>
        <w:pStyle w:val="Heading2"/>
      </w:pPr>
      <w:r>
        <w:rPr>
          <w:rFonts w:ascii="Times New Roman" w:hAnsi="Times New Roman"/>
        </w:rPr>
        <w:t>1 Mandantin und Anlass</w:t>
      </w:r>
    </w:p>
    <w:p>
      <w:pPr>
        <w:jc w:val="left"/>
      </w:pPr>
      <w:r>
        <w:t>Mandantin ist die Klingenhain Musikschule gemeinnützige GmbH, eine kommunal geförderte Einrichtung in Hessen mit 42 Festangestellten, 63 Honorarkräften und 1.840 Schülern. Anlass ist eine DRV-Betriebsprüfung für die Jahre 2022 bis 2025 mit Schwerpunkt auf den Honorarkräften, der Geschäftsführung, einer freien anwaltlichen Mitarbeiterin und einem IT-Freelancer. Internes Aktenzeichen: KH-DRV-2026-06.</w:t>
      </w:r>
    </w:p>
    <w:p>
      <w:pPr>
        <w:pStyle w:val="Heading2"/>
      </w:pPr>
      <w:r>
        <w:rPr>
          <w:rFonts w:ascii="Times New Roman" w:hAnsi="Times New Roman"/>
        </w:rPr>
        <w:t>2 Ausgangslage</w:t>
      </w:r>
    </w:p>
    <w:p>
      <w:pPr>
        <w:jc w:val="left"/>
      </w:pPr>
      <w:r>
        <w:t>Die Verträge lesen sich als Verträge über freie Mitarbeit. Die tatsächliche Durchführung ist bei einem Teil der Beteiligten stark organisiert: feste Räume, feste Stundenpläne, Krankmeldungen über das Sekretariat, verpflichtende Teamtage, zentrale Elternkommunikation, Schülereinteilung durch die Musikschule und monatlich gleichförmige Rechnungen. Bei einzelnen Lehrkräften bestehen zugleich Merkmale einer selbständigen Tätigkeit, etwa ein eigenes Studio, eigene Schüler, eine eigene Website und eine eigene Vertretungsorganisation.</w:t>
      </w:r>
    </w:p>
    <w:p>
      <w:pPr>
        <w:pStyle w:val="Heading2"/>
      </w:pPr>
      <w:r>
        <w:rPr>
          <w:rFonts w:ascii="Times New Roman" w:hAnsi="Times New Roman"/>
        </w:rPr>
        <w:t>3 Betroffene Gruppen und Personen</w:t>
      </w:r>
    </w:p>
    <w:p>
      <w:pPr>
        <w:jc w:val="left"/>
      </w:pPr>
      <w:r>
        <w:t>3.1 Gitarren- und Klavierlehrkräfte mit dem größten Honorarvolumen und gemischter Praxis.</w:t>
      </w:r>
    </w:p>
    <w:p>
      <w:pPr>
        <w:jc w:val="left"/>
      </w:pPr>
      <w:r>
        <w:t>3.2 Der Geschäftsführer Dr. Balduin Klingenhain, der exakt 50 Prozent der Geschäftsanteile hält; die Satzung sieht einfache Mehrheit vor, das Vetorecht aus dem Gründerbrief ist privatschriftlich und nicht notariell oder satzungsmäßig gesichert.</w:t>
      </w:r>
    </w:p>
    <w:p>
      <w:pPr>
        <w:jc w:val="left"/>
      </w:pPr>
      <w:r>
        <w:t>3.3 Eine freie anwaltliche Mitarbeiterin, die eine Kanzlei- und Schul-Mailadresse nutzt, mit Eltern und Vertragspartnern spricht und monatlich pauschal abrechnet.</w:t>
      </w:r>
    </w:p>
    <w:p>
      <w:pPr>
        <w:jc w:val="left"/>
      </w:pPr>
      <w:r>
        <w:t>3.4 Ein IT-Freelancer mit Zugang zu Jira, Teams und Administrationsrechten und zwei Präsenztagen pro Woche, der zugleich eine eigene GmbH und mehrere Kunden hat.</w:t>
      </w:r>
    </w:p>
    <w:p>
      <w:pPr>
        <w:jc w:val="left"/>
      </w:pPr>
      <w:r>
        <w:t>3.5 Online-Tutorinnen mit Plattformsteuerung und Preisvorgabe durch die Musikschule, aber freier Wahl des Arbeitsorts.</w:t>
      </w:r>
    </w:p>
    <w:p>
      <w:pPr>
        <w:pStyle w:val="Heading2"/>
      </w:pPr>
      <w:r>
        <w:rPr>
          <w:rFonts w:ascii="Times New Roman" w:hAnsi="Times New Roman"/>
        </w:rPr>
        <w:t>4 Verfahrensstand und Fristen</w:t>
      </w:r>
    </w:p>
    <w:p>
      <w:pPr>
        <w:jc w:val="left"/>
      </w:pPr>
      <w:r>
        <w:t>Die DRV hat im Prüfverfahren eine Anhörung durchgeführt; die Äußerungsfrist ist im Verfahrenskalender vermerkt. Der Sachverhalt und die für die Bewertung maßgeblichen Unterlagen ergeben sich aus den übrigen Aktenstücken. Die rechtliche Bewertung bleibt der Bearbeitung vorbehalten.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