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IT-Freelancer Lernplattform - Tiberius Falk</w:t>
      </w:r>
    </w:p>
    <w:p>
      <w:pPr>
        <w:jc w:val="left"/>
      </w:pPr>
      <w:r>
        <w:t>Tiberius Falk betreut die Lernplattform “Klangraum Online”. Der Vertrag ist als Werkvertrag mit Meilensteinen ausgestaltet: Migration Moodle, Single-Sign-on, Rechtekonzept, Backup, Elternportal. Tatsächlich gibt es aber jeden Dienstag und Donnerstag feste Onsite-Zeiten, tägliche Stand-ups in Teams und ein Jira-Board mit Prioritäten durch die Verwaltungsleitung.</w:t>
      </w:r>
    </w:p>
    <w:p>
      <w:pPr>
        <w:pStyle w:val="Heading2"/>
      </w:pPr>
      <w:r>
        <w:rPr>
          <w:rFonts w:ascii="Times New Roman" w:hAnsi="Times New Roman"/>
        </w:rPr>
        <w:t>Selbständigkeitsindizien</w:t>
      </w:r>
    </w:p>
    <w:p>
      <w:pPr>
        <w:pStyle w:val="ListBullet"/>
      </w:pPr>
      <w:r>
        <w:t>Eigene Falk IT Solutions UG, drei weitere Kunden, eigene Berufshaftpflicht.</w:t>
      </w:r>
    </w:p>
    <w:p>
      <w:pPr>
        <w:pStyle w:val="ListBullet"/>
      </w:pPr>
      <w:r>
        <w:t>Eigener Laptop, eigene GitLab-Instanz für Vorentwicklung.</w:t>
      </w:r>
    </w:p>
    <w:p>
      <w:pPr>
        <w:pStyle w:val="ListBullet"/>
      </w:pPr>
      <w:r>
        <w:t>Meilensteinvergütung für einzelne Releases.</w:t>
      </w:r>
    </w:p>
    <w:p>
      <w:pPr>
        <w:pStyle w:val="ListBullet"/>
      </w:pPr>
      <w:r>
        <w:t>Recht zur Einschaltung eines Subunternehmers in Paragraf 4 Vertrag; nie genutzt.</w:t>
      </w:r>
    </w:p>
    <w:p>
      <w:pPr>
        <w:pStyle w:val="Heading2"/>
      </w:pPr>
      <w:r>
        <w:rPr>
          <w:rFonts w:ascii="Times New Roman" w:hAnsi="Times New Roman"/>
        </w:rPr>
        <w:t>Beschäftigungsindizien</w:t>
      </w:r>
    </w:p>
    <w:p>
      <w:pPr>
        <w:pStyle w:val="ListBullet"/>
      </w:pPr>
      <w:r>
        <w:t>Adminaccount im Schulnetz, Teilnahme an internen IT-Sicherheitsunterweisungen.</w:t>
      </w:r>
    </w:p>
    <w:p>
      <w:pPr>
        <w:pStyle w:val="ListBullet"/>
      </w:pPr>
      <w:r>
        <w:t>Feste Reaktionszeiten “wie interner IT-Dienst”.</w:t>
      </w:r>
    </w:p>
    <w:p>
      <w:pPr>
        <w:pStyle w:val="ListBullet"/>
      </w:pPr>
      <w:r>
        <w:t>Einbindung in Urlaubsvertretung des angestellten IT-Leiters.</w:t>
      </w:r>
    </w:p>
    <w:p>
      <w:pPr>
        <w:pStyle w:val="ListBullet"/>
      </w:pPr>
      <w:r>
        <w:t>Keine Abnahmeprotokolle, sondern fortlaufende Ticketarbeit.</w:t>
      </w:r>
    </w:p>
    <w:p>
      <w:pPr>
        <w:pStyle w:val="Heading2"/>
      </w:pPr>
      <w:r>
        <w:rPr>
          <w:rFonts w:ascii="Times New Roman" w:hAnsi="Times New Roman"/>
        </w:rPr>
        <w:t>Prüfthese</w:t>
      </w:r>
    </w:p>
    <w:p>
      <w:pPr>
        <w:jc w:val="left"/>
      </w:pPr>
      <w:r>
        <w:t>Nicht jede agile Projektsteuerung ist Beschäftigung. Aber wenn Werkabnahme, eigener Marktauftritt und Ergebnisverantwortung nur auf dem Papier stehen, kippt die Lage. Hier müssen die einzelnen Zeiträume getrennt werden: Migrationsprojekt 2024, Supportbetrieb 2025, Sicherheitsvorfall 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