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Geschäftsführerstatus: exakt 50 Prozent und Nebenabrede</w:t>
      </w:r>
    </w:p>
    <w:p>
      <w:pPr>
        <w:pStyle w:val="Heading2"/>
      </w:pPr>
      <w:r>
        <w:rPr>
          <w:rFonts w:ascii="Times New Roman" w:hAnsi="Times New Roman"/>
        </w:rPr>
        <w:t>1 Beteiligungslage</w:t>
      </w:r>
    </w:p>
    <w:p>
      <w:pPr>
        <w:jc w:val="left"/>
      </w:pPr>
      <w:r>
        <w:t>Dr. Balduin Klingenhain hält 50 Prozent der Geschäftsanteile an der Klingenhain Musikschule gemeinnützige GmbH. Die andere Hälfte hält die Kulturhof Stiftung.</w:t>
      </w:r>
    </w:p>
    <w:p>
      <w:pPr>
        <w:pStyle w:val="Heading2"/>
      </w:pPr>
      <w:r>
        <w:rPr>
          <w:rFonts w:ascii="Times New Roman" w:hAnsi="Times New Roman"/>
        </w:rPr>
        <w:t>2 Beschlussfassung nach der Satzung</w:t>
      </w:r>
    </w:p>
    <w:p>
      <w:pPr>
        <w:jc w:val="left"/>
      </w:pPr>
      <w:r>
        <w:t>Nach der Satzung werden gewöhnliche Gesellschafterbeschlüsse mit einfacher Mehrheit gefasst. Bei Stimmengleichheit gilt ein Antrag als abgelehnt; ein Stichentscheid besteht nicht. Der Katalog zustimmungspflichtiger Geschäfte, die Abberufungsregeln und die Weisungsrechte ergeben sich aus der vollständigen Satzung (Aktenstück 05).</w:t>
      </w:r>
    </w:p>
    <w:p>
      <w:pPr>
        <w:pStyle w:val="Heading2"/>
      </w:pPr>
      <w:r>
        <w:rPr>
          <w:rFonts w:ascii="Times New Roman" w:hAnsi="Times New Roman"/>
        </w:rPr>
        <w:t>3 Gründerbrief als Nebenabrede</w:t>
      </w:r>
    </w:p>
    <w:p>
      <w:pPr>
        <w:jc w:val="left"/>
      </w:pPr>
      <w:r>
        <w:t>Ein privatschriftlicher, nicht notariell beurkundeter „Gründerbrief" vom 03.05.2021 sieht vor, dass Dr. Klingenhain einer Änderung des Unterrichtsprofils, einem Personalabbau und der Aufnahme neuer Gesellschafter widersprechen kann. Der Gründerbrief ist nicht als Bestandteil der Satzung ersichtlich und im Handelsregister nicht eingetragen.</w:t>
      </w:r>
    </w:p>
    <w:p>
      <w:pPr>
        <w:pStyle w:val="Heading2"/>
      </w:pPr>
      <w:r>
        <w:rPr>
          <w:rFonts w:ascii="Times New Roman" w:hAnsi="Times New Roman"/>
        </w:rPr>
        <w:t>4 In der Akte vorhandene Unterlagen zu dieser Frage</w:t>
      </w:r>
    </w:p>
    <w:p>
      <w:pPr>
        <w:jc w:val="left"/>
      </w:pPr>
      <w:r>
        <w:t>Zur Beurteilung liegen vor: die vollständige Satzung und die Gesellschafterliste, der Geschäftsführer-Dienstvertrag, die Beiratsprotokolle und Versammlungsniederschriften der Jahre 2022 bis 2026 sowie der Gründerbrief. Weitere tatsächliche Angaben zu erteilten oder abgelehnten Weisungen ergeben sich aus den übrigen Aktenstücken.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