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Risikorechnung und Szenarien</w:t>
      </w:r>
    </w:p>
    <w:p>
      <w:pPr>
        <w:pStyle w:val="Heading2"/>
      </w:pPr>
      <w:r>
        <w:rPr>
          <w:rFonts w:ascii="Times New Roman" w:hAnsi="Times New Roman"/>
        </w:rPr>
        <w:t>Szenario A - harte DRV-Linie</w:t>
      </w:r>
    </w:p>
    <w:p>
      <w:pPr>
        <w:jc w:val="left"/>
      </w:pPr>
      <w:r>
        <w:t>Alle 38 regelmäßig eingesetzten Honorarlehrkräfte werden für 2022-2025 als abhängig beschäftigt eingeordnet. Beitragsrisiko inklusive Arbeitgeber- und Arbeitnehmeranteile grob 1,18 Mio. EUR, ohne Säumniszuschläge. Liquiditätsrisiko hoch, Fördermittelgeber informieren.</w:t>
      </w:r>
    </w:p>
    <w:p>
      <w:pPr>
        <w:pStyle w:val="Heading2"/>
      </w:pPr>
      <w:r>
        <w:rPr>
          <w:rFonts w:ascii="Times New Roman" w:hAnsi="Times New Roman"/>
        </w:rPr>
        <w:t>Szenario B - Clusterlösung</w:t>
      </w:r>
    </w:p>
    <w:p>
      <w:pPr>
        <w:jc w:val="left"/>
      </w:pPr>
      <w:r>
        <w:t>19 Lehrkräfte mit fester Raum-/Stundenbindung werden umgestellt, 11 echte Selbständige bleiben, 8 Sonderfälle werden einzeln statusfestgestellt. Beitragsrisiko grob 590.000 EUR. Sanierung operativ möglich, aber Kommunikationsrisiko gegenüber Lehrkräften.</w:t>
      </w:r>
    </w:p>
    <w:p>
      <w:pPr>
        <w:pStyle w:val="Heading2"/>
      </w:pPr>
      <w:r>
        <w:rPr>
          <w:rFonts w:ascii="Times New Roman" w:hAnsi="Times New Roman"/>
        </w:rPr>
        <w:t>Szenario C - Sanierung nach vorne, Streit nach hinten</w:t>
      </w:r>
    </w:p>
    <w:p>
      <w:pPr>
        <w:jc w:val="left"/>
      </w:pPr>
      <w:r>
        <w:t>Für die Vergangenheit wird differenziert gestritten. Für die Zukunft werden gefährdete Gruppen angestellt oder echte Selbständigkeit praktisch hergestellt: eigene Schülerakquise, kein zentraler Stundenplan, echte Vertretungsfreiheit, Abnahme-/Leistungspakete, keine Schul-Mail als Pflicht.</w:t>
      </w:r>
    </w:p>
    <w:p>
      <w:pPr>
        <w:pStyle w:val="Heading2"/>
      </w:pPr>
      <w:r>
        <w:rPr>
          <w:rFonts w:ascii="Times New Roman" w:hAnsi="Times New Roman"/>
        </w:rPr>
        <w:t>Strafrechtlicher Trigger</w:t>
      </w:r>
    </w:p>
    <w:p>
      <w:pPr>
        <w:jc w:val="left"/>
      </w:pPr>
      <w:r>
        <w:t>Paragraf 266a StGB darf nicht dramatisiert, aber auch nicht ausgeblendet werden. Bei Kenntnis von Beschäftigung und Nichtabführung wird es heikel. Ab sofort müssen Zahlungen, Umstellungen und Kommunikation kontrolliert erfolgen.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