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Clearingstellenverfahren</w:t>
      </w:r>
    </w:p>
    <w:p>
      <w:pPr>
        <w:pStyle w:val="Heading2"/>
      </w:pPr>
      <w:r>
        <w:rPr>
          <w:rFonts w:ascii="Times New Roman" w:hAnsi="Times New Roman"/>
        </w:rPr>
        <w:t>1 Beteiligte und wirtschaftlicher Hintergrund</w:t>
      </w:r>
    </w:p>
    <w:p>
      <w:pPr>
        <w:jc w:val="left"/>
      </w:pPr>
      <w:r>
        <w:t>Mandantin ist die Neuralis MedTech GmbH, Henkestraße 91, 91054 Erlangen. Geschäftsführer ist Dr. Henrik Vogt, Ingenieur und Mitgründer, mit einem Anteil von 32 Prozent am Stammkapital. Weitere Gesellschafter sind der Venture-Fonds FrankenHealth Ventures GmbH mit 51 Prozent und die Ärztin Dr. Miriam Seidl mit 17 Prozent. Dr. Vogt verantwortet die Ressorts Entwicklung, Zulassung und klinische Kooperationen.</w:t>
      </w:r>
    </w:p>
    <w:p>
      <w:pPr>
        <w:pStyle w:val="Heading2"/>
      </w:pPr>
      <w:r>
        <w:rPr>
          <w:rFonts w:ascii="Times New Roman" w:hAnsi="Times New Roman"/>
        </w:rPr>
        <w:t>2 Anlass</w:t>
      </w:r>
    </w:p>
    <w:p>
      <w:pPr>
        <w:jc w:val="left"/>
      </w:pPr>
      <w:r>
        <w:t>Nach einer Betriebsprüfung im Jahr 2026 hat die DRV Bund im Rahmen des Statusfeststellungsverfahrens angefragt, ob Dr. Vogt seit dem 01.03.2023 abhängig beschäftigt ist. Die GmbH hat ihn bisher als nicht versicherungspflichtigen Gesellschafter-Geschäftsführer behandelt und keine Beiträge abgeführt. Die Prüferin verweist zur Begründung ihrer Zweifel auf die Minderheitsbeteiligung, die feste Monatsvergütung, die Urlaubsregelung und die Zustimmungsvorbehalte des Beirats.</w:t>
      </w:r>
    </w:p>
    <w:p>
      <w:pPr>
        <w:pStyle w:val="Heading2"/>
      </w:pPr>
      <w:r>
        <w:rPr>
          <w:rFonts w:ascii="Times New Roman" w:hAnsi="Times New Roman"/>
        </w:rPr>
        <w:t>3 Unterlagenlage und streitige Punkte</w:t>
      </w:r>
    </w:p>
    <w:p>
      <w:pPr>
        <w:jc w:val="left"/>
      </w:pPr>
      <w:r>
        <w:t>Der Gesellschaftsvertrag in seiner Neufassung vom 24.02.2023, der Geschäftsführer-Anstellungsvertrag, die Beiratsprotokolle und der von der GmbH ausgefüllte Feststellungsbogen C0032 liegen vollständig in der Akte. Zwischen den Beteiligten sind unter anderem folgende Punkte streitig oder aufklärungsbedürftig:</w:t>
      </w:r>
    </w:p>
    <w:p>
      <w:pPr>
        <w:jc w:val="left"/>
      </w:pPr>
      <w:r>
        <w:t>3.1 Reichweite der Stimm- und Beschlussrechte des Dr. Vogt nach dem Gesellschaftsvertrag, insbesondere in Bezug auf laufende Weisungen und auf die Abberufung als Geschäftsführer.</w:t>
      </w:r>
    </w:p>
    <w:p>
      <w:pPr>
        <w:jc w:val="left"/>
      </w:pPr>
      <w:r>
        <w:t>3.2 Bedeutung der von Dr. Vogt persönlich übernommenen Bürgschaft über 400.000 EUR und seiner Stellung als alleiniger Inhaber des Entwicklungs-Know-hows.</w:t>
      </w:r>
    </w:p>
    <w:p>
      <w:pPr>
        <w:jc w:val="left"/>
      </w:pPr>
      <w:r>
        <w:t>3.3 Tatsächliche Handhabung von Weisungen, Urlaub, Berichtspflichten und Vergütung im Verhältnis zu den vertraglichen Regelungen.</w:t>
      </w:r>
    </w:p>
    <w:p>
      <w:pPr>
        <w:jc w:val="left"/>
      </w:pPr>
      <w:r>
        <w:t>3.4 Vollständigkeit und Richtigkeit der Angaben im Feststellungsbogen C0032.</w:t>
      </w:r>
    </w:p>
    <w:p>
      <w:pPr>
        <w:pStyle w:val="Heading2"/>
      </w:pPr>
      <w:r>
        <w:rPr>
          <w:rFonts w:ascii="Times New Roman" w:hAnsi="Times New Roman"/>
        </w:rPr>
        <w:t>4 Verfahrensstand und Fristen</w:t>
      </w:r>
    </w:p>
    <w:p>
      <w:pPr>
        <w:jc w:val="left"/>
      </w:pPr>
      <w:r>
        <w:t>Die DRV Bund hat mit ihrer Anhörung eine Äußerungsfrist gesetzt. Zu erarbeiten sind die Stellungnahme im Anhörungsverfahren, die Aufbereitung der Beitragsfolgen sowie die Fristsachen. Der weitere Sachverhalt und die für die Bewertung maßgeblichen Unterlagen ergeben sich aus den übrigen Aktenstücken; die rechtliche Bewertung bleibt der Bearbeitung vorbehalten.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