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Gesellschaftsvertrag der Neuralis MedTech GmbH</w:t>
      </w:r>
    </w:p>
    <w:p>
      <w:pPr>
        <w:jc w:val="left"/>
      </w:pPr>
      <w:r>
        <w:t>Vollständige Neufassung aufgrund des Gesellschafterbeschlusses vom 24.02.2023, notariell beurkundet durch Notar Dr. Alfons Reinboth, Erlangen, Urkundenrolle Nr. 214/2023. Eingetragen im Handelsregister des Amtsgerichts Fürth unter HRB 18 442 am 06.03.2023.</w:t>
      </w:r>
    </w:p>
    <w:p>
      <w:pPr>
        <w:jc w:val="left"/>
      </w:pPr>
      <w:r>
        <w:t>Diese Fassung gibt den Gesellschaftsvertrag vollständig und ohne Auslassungen wieder.</w:t>
      </w:r>
    </w:p>
    <w:p>
      <w:pPr>
        <w:pStyle w:val="Heading2"/>
      </w:pPr>
      <w:r>
        <w:rPr>
          <w:rFonts w:ascii="Times New Roman" w:hAnsi="Times New Roman"/>
        </w:rPr>
        <w:t>1 Firma, Sitz und Geschäftsjahr</w:t>
      </w:r>
    </w:p>
    <w:p>
      <w:pPr>
        <w:jc w:val="left"/>
      </w:pPr>
      <w:r>
        <w:t>1.1 Die Firma der Gesellschaft lautet Neuralis MedTech GmbH.</w:t>
      </w:r>
    </w:p>
    <w:p>
      <w:pPr>
        <w:jc w:val="left"/>
      </w:pPr>
      <w:r>
        <w:t>1.2 Sitz der Gesellschaft ist Erlangen. Die Geschäftsanschrift lautet Henkestraße 91, 91054 Erlangen.</w:t>
      </w:r>
    </w:p>
    <w:p>
      <w:pPr>
        <w:jc w:val="left"/>
      </w:pPr>
      <w:r>
        <w:t>1.3 Das Geschäftsjahr ist das Kalenderjahr. Das erste Geschäftsjahr nach dieser Neufassung endet am 31.12.2023.</w:t>
      </w:r>
    </w:p>
    <w:p>
      <w:pPr>
        <w:pStyle w:val="Heading2"/>
      </w:pPr>
      <w:r>
        <w:rPr>
          <w:rFonts w:ascii="Times New Roman" w:hAnsi="Times New Roman"/>
        </w:rPr>
        <w:t>2 Gegenstand des Unternehmens</w:t>
      </w:r>
    </w:p>
    <w:p>
      <w:pPr>
        <w:jc w:val="left"/>
      </w:pPr>
      <w:r>
        <w:t>2.1 Gegenstand des Unternehmens ist die Entwicklung, die klinische Erprobung, die Zulassung und der Vertrieb von Medizinprodukten der Neurotechnologie, insbesondere implantierbarer und nichtimplantierbarer Systeme zur Stimulation und Ableitung neuronaler Signale, sowie die dazugehörige Softwareentwicklung.</w:t>
      </w:r>
    </w:p>
    <w:p>
      <w:pPr>
        <w:jc w:val="left"/>
      </w:pPr>
      <w:r>
        <w:t>2.2 Die Gesellschaft ist zu allen Geschäften und Maßnahmen berechtigt, die dem Gegenstand des Unternehmens unmittelbar oder mittelbar zu dienen geeignet sind. Sie kann andere Unternehmen gründen, erwerben, sich an ihnen beteiligen und Zweigniederlassungen im In- und Ausland errichten.</w:t>
      </w:r>
    </w:p>
    <w:p>
      <w:pPr>
        <w:jc w:val="left"/>
      </w:pPr>
      <w:r>
        <w:t>2.3 Tätigkeiten, die einer öffentlich-rechtlichen Erlaubnis bedürfen, nimmt die Gesellschaft erst nach Erteilung der jeweiligen Erlaubnis auf.</w:t>
      </w:r>
    </w:p>
    <w:p>
      <w:pPr>
        <w:pStyle w:val="Heading2"/>
      </w:pPr>
      <w:r>
        <w:rPr>
          <w:rFonts w:ascii="Times New Roman" w:hAnsi="Times New Roman"/>
        </w:rPr>
        <w:t>3 Stammkapital und Geschäftsanteile</w:t>
      </w:r>
    </w:p>
    <w:p>
      <w:pPr>
        <w:jc w:val="left"/>
      </w:pPr>
      <w:r>
        <w:t>3.1 Das Stammkapital der Gesellschaft beträgt 100.000,00 EUR (in Worten: einhunderttausend Euro).</w:t>
      </w:r>
    </w:p>
    <w:p>
      <w:pPr>
        <w:jc w:val="left"/>
      </w:pPr>
      <w:r>
        <w:t>3.2 Vom Stammkapital übernehmen:</w:t>
      </w:r>
    </w:p>
    <w:p>
      <w:pPr>
        <w:jc w:val="left"/>
      </w:pPr>
      <w:r>
        <w:t>3.2.1 die FrankenHealth Ventures GmbH mit Sitz in München einen Geschäftsanteil im Nennbetrag von 51.000,00 EUR (Geschäftsanteil Nr. 1),</w:t>
      </w:r>
    </w:p>
    <w:p>
      <w:pPr>
        <w:jc w:val="left"/>
      </w:pPr>
      <w:r>
        <w:t>3.2.2 Herr Dr. Henrik Vogt, wohnhaft in Erlangen, einen Geschäftsanteil im Nennbetrag von 32.000,00 EUR (Geschäftsanteil Nr. 2),</w:t>
      </w:r>
    </w:p>
    <w:p>
      <w:pPr>
        <w:jc w:val="left"/>
      </w:pPr>
      <w:r>
        <w:t>3.2.3 Frau Dr. Miriam Seidl, wohnhaft in Nürnberg, einen Geschäftsanteil im Nennbetrag von 17.000,00 EUR (Geschäftsanteil Nr. 3).</w:t>
      </w:r>
    </w:p>
    <w:p>
      <w:pPr>
        <w:jc w:val="left"/>
      </w:pPr>
      <w:r>
        <w:t>3.3 Die Stammeinlagen sind vollständig in Geld erbracht. Jeder Geschäftsanteil ist frei teilbar, soweit dieser Vertrag nichts anderes bestimmt.</w:t>
      </w:r>
    </w:p>
    <w:p>
      <w:pPr>
        <w:jc w:val="left"/>
      </w:pPr>
      <w:r>
        <w:t>3.4 Je 1,00 EUR eines Geschäftsanteils gewährt eine Stimme in der Gesellschafterversammlung.</w:t>
      </w:r>
    </w:p>
    <w:p>
      <w:pPr>
        <w:pStyle w:val="Heading2"/>
      </w:pPr>
      <w:r>
        <w:rPr>
          <w:rFonts w:ascii="Times New Roman" w:hAnsi="Times New Roman"/>
        </w:rPr>
        <w:t>4 Geschäftsführung und Vertretung</w:t>
      </w:r>
    </w:p>
    <w:p>
      <w:pPr>
        <w:jc w:val="left"/>
      </w:pPr>
      <w:r>
        <w:t>4.1 Die Gesellschaft hat einen oder mehrere Geschäftsführer. Die Gesellschafterversammlung bestellt und beruft die Geschäftsführer und kann ihnen jederzeit Einzelvertretungsbefugnis und Befreiung von den Beschränkungen des Paragrafen 181 BGB erteilen oder entziehen.</w:t>
      </w:r>
    </w:p>
    <w:p>
      <w:pPr>
        <w:jc w:val="left"/>
      </w:pPr>
      <w:r>
        <w:t>4.2 Ist nur ein Geschäftsführer bestellt, vertritt er die Gesellschaft allein. Sind mehrere Geschäftsführer bestellt, wird die Gesellschaft durch zwei Geschäftsführer gemeinschaftlich oder durch einen Geschäftsführer gemeinsam mit einem Prokuristen vertreten.</w:t>
      </w:r>
    </w:p>
    <w:p>
      <w:pPr>
        <w:jc w:val="left"/>
      </w:pPr>
      <w:r>
        <w:t>4.3 Die Geschäftsführer führen die Geschäfte der Gesellschaft nach Maßgabe der Gesetze, dieses Vertrages, einer etwaigen Geschäftsordnung und der Weisungen der Gesellschafterversammlung. Die Gesellschafterversammlung kann den Geschäftsführern durch Beschluss jederzeit Weisungen für die Geschäftsführung erteilen; die Geschäftsführer sind an diese Weisungen gebunden.</w:t>
      </w:r>
    </w:p>
    <w:p>
      <w:pPr>
        <w:jc w:val="left"/>
      </w:pPr>
      <w:r>
        <w:t>4.4 Die Gesellschafterversammlung kann eine Geschäftsordnung für die Geschäftsführung erlassen, ändern und aufheben und darin einen Katalog zustimmungsbedürftiger Geschäfte festlegen.</w:t>
      </w:r>
    </w:p>
    <w:p>
      <w:pPr>
        <w:jc w:val="left"/>
      </w:pPr>
      <w:r>
        <w:t>4.5 Folgende Maßnahmen darf die Geschäftsführung nur mit vorheriger Zustimmung der Gesellschafterversammlung vornehmen, soweit sie nicht ohnehin dem Beirat nach Ziffer 7 zugewiesen sind:</w:t>
      </w:r>
    </w:p>
    <w:p>
      <w:pPr>
        <w:jc w:val="left"/>
      </w:pPr>
      <w:r>
        <w:t>4.5.1 der Abschluss, die Änderung und die Beendigung von Verträgen, die die Gesellschaft im Einzelfall mit mehr als 75.000,00 EUR belasten,</w:t>
      </w:r>
    </w:p>
    <w:p>
      <w:pPr>
        <w:jc w:val="left"/>
      </w:pPr>
      <w:r>
        <w:t>4.5.2 die Aufnahme von Darlehen und die Übernahme von Bürgschaften oder sonstigen Sicherheiten,</w:t>
      </w:r>
    </w:p>
    <w:p>
      <w:pPr>
        <w:jc w:val="left"/>
      </w:pPr>
      <w:r>
        <w:t>4.5.3 der Erwerb, die Veräußerung und die Belastung von Grundstücken und grundstücksgleichen Rechten,</w:t>
      </w:r>
    </w:p>
    <w:p>
      <w:pPr>
        <w:jc w:val="left"/>
      </w:pPr>
      <w:r>
        <w:t>4.5.4 die Übertragung, Lizenzierung oder Belastung von Patenten und sonstigen gewerblichen Schutzrechten der Gesellschaft.</w:t>
      </w:r>
    </w:p>
    <w:p>
      <w:pPr>
        <w:pStyle w:val="Heading2"/>
      </w:pPr>
      <w:r>
        <w:rPr>
          <w:rFonts w:ascii="Times New Roman" w:hAnsi="Times New Roman"/>
        </w:rPr>
        <w:t>5 Gesellschafterversammlung</w:t>
      </w:r>
    </w:p>
    <w:p>
      <w:pPr>
        <w:jc w:val="left"/>
      </w:pPr>
      <w:r>
        <w:t>5.1 Die ordentliche Gesellschafterversammlung findet einmal jährlich innerhalb von acht Monaten nach Schluss des Geschäftsjahres statt. Außerordentliche Versammlungen sind einzuberufen, wenn das Interesse der Gesellschaft es erfordert oder wenn Gesellschafter, die zusammen mindestens zehn Prozent des Stammkapitals halten, dies unter Angabe des Zwecks schriftlich verlangen.</w:t>
      </w:r>
    </w:p>
    <w:p>
      <w:pPr>
        <w:jc w:val="left"/>
      </w:pPr>
      <w:r>
        <w:t>5.2 Die Versammlung wird durch die Geschäftsführung mit einer Frist von zwei Wochen in Textform unter Angabe der Tagesordnung einberufen. Der Tag der Absendung und der Tag der Versammlung werden nicht mitgerechnet.</w:t>
      </w:r>
    </w:p>
    <w:p>
      <w:pPr>
        <w:jc w:val="left"/>
      </w:pPr>
      <w:r>
        <w:t>5.3 Die Versammlung ist beschlussfähig, wenn mindestens fünfundsiebzig Prozent des Stammkapitals vertreten sind. Ist eine ordnungsgemäß einberufene Versammlung nicht beschlussfähig, so ist mit gleicher Tagesordnung und einer Frist von einer Woche eine neue Versammlung einzuberufen, die ohne Rücksicht auf das vertretene Kapital beschlussfähig ist; hierauf ist in der zweiten Einladung hinzuweisen.</w:t>
      </w:r>
    </w:p>
    <w:p>
      <w:pPr>
        <w:jc w:val="left"/>
      </w:pPr>
      <w:r>
        <w:t>5.4 Den Vorsitz führt der Vertreter der FrankenHealth Ventures GmbH, im Verhinderungsfall der an Lebensjahren älteste anwesende Gesellschafter. Dem Vorsitzenden steht kein Stichentscheid zu.</w:t>
      </w:r>
    </w:p>
    <w:p>
      <w:pPr>
        <w:jc w:val="left"/>
      </w:pPr>
      <w:r>
        <w:t>5.5 Beschlüsse können auch außerhalb von Versammlungen schriftlich, per Telefax oder in Textform gefasst werden, wenn sich alle Gesellschafter mit dieser Art der Beschlussfassung einverstanden erklären.</w:t>
      </w:r>
    </w:p>
    <w:p>
      <w:pPr>
        <w:pStyle w:val="Heading2"/>
      </w:pPr>
      <w:r>
        <w:rPr>
          <w:rFonts w:ascii="Times New Roman" w:hAnsi="Times New Roman"/>
        </w:rPr>
        <w:t>6 Gesellschafterbeschlüsse und Mehrheiten</w:t>
      </w:r>
    </w:p>
    <w:p>
      <w:pPr>
        <w:jc w:val="left"/>
      </w:pPr>
      <w:r>
        <w:t>6.1 Beschlüsse der Gesellschafter werden mit der einfachen Mehrheit der abgegebenen Stimmen gefasst, soweit nicht das Gesetz oder dieser Vertrag eine größere Mehrheit vorschreibt. Stimmenthaltungen gelten als nicht abgegebene Stimmen.</w:t>
      </w:r>
    </w:p>
    <w:p>
      <w:pPr>
        <w:jc w:val="left"/>
      </w:pPr>
      <w:r>
        <w:t>6.2 Einer Mehrheit von mindestens fünfundsiebzig Prozent der abgegebenen Stimmen bedürfen Beschlüsse über:</w:t>
      </w:r>
    </w:p>
    <w:p>
      <w:pPr>
        <w:jc w:val="left"/>
      </w:pPr>
      <w:r>
        <w:t>6.2.1 Änderungen dieses Gesellschaftsvertrages,</w:t>
      </w:r>
    </w:p>
    <w:p>
      <w:pPr>
        <w:jc w:val="left"/>
      </w:pPr>
      <w:r>
        <w:t>6.2.2 Erhöhungen und Herabsetzungen des Stammkapitals sowie sonstige Kapitalmaßnahmen,</w:t>
      </w:r>
    </w:p>
    <w:p>
      <w:pPr>
        <w:jc w:val="left"/>
      </w:pPr>
      <w:r>
        <w:t>6.2.3 die Veräußerung wesentlicher Patente oder des im Wesentlichen gesamten Vermögens der Gesellschaft,</w:t>
      </w:r>
    </w:p>
    <w:p>
      <w:pPr>
        <w:jc w:val="left"/>
      </w:pPr>
      <w:r>
        <w:t>6.2.4 die Feststellung des Jahresbudgets, soweit dieses ein Gesamtvolumen von 250.000,00 EUR übersteigt,</w:t>
      </w:r>
    </w:p>
    <w:p>
      <w:pPr>
        <w:jc w:val="left"/>
      </w:pPr>
      <w:r>
        <w:t>6.2.5 die Aufnahme von Darlehen über 150.000,00 EUR im Einzelfall,</w:t>
      </w:r>
    </w:p>
    <w:p>
      <w:pPr>
        <w:jc w:val="left"/>
      </w:pPr>
      <w:r>
        <w:t>6.2.6 die Bestellung und die Abberufung eines Geschäftsführers ohne wichtigen Grund,</w:t>
      </w:r>
    </w:p>
    <w:p>
      <w:pPr>
        <w:jc w:val="left"/>
      </w:pPr>
      <w:r>
        <w:t>6.2.7 den Abschluss, die Änderung und die Beendigung von Unternehmensverträgen, insbesondere von Beherrschungs- und Ergebnisabführungsverträgen,</w:t>
      </w:r>
    </w:p>
    <w:p>
      <w:pPr>
        <w:jc w:val="left"/>
      </w:pPr>
      <w:r>
        <w:t>6.2.8 die Auflösung der Gesellschaft.</w:t>
      </w:r>
    </w:p>
    <w:p>
      <w:pPr>
        <w:jc w:val="left"/>
      </w:pPr>
      <w:r>
        <w:t>6.3 Die Bestellung und die Abberufung eines Geschäftsführers aus wichtigem Grund sowie der Entzug der Vertretungsbefugnis aus wichtigem Grund werden mit einfacher Mehrheit der abgegebenen Stimmen beschlossen. Der betroffene Gesellschafter-Geschäftsführer hat bei der Abstimmung über seine Abberufung aus wichtigem Grund kein Stimmrecht.</w:t>
      </w:r>
    </w:p>
    <w:p>
      <w:pPr>
        <w:jc w:val="left"/>
      </w:pPr>
      <w:r>
        <w:t>6.4 Beschlüsse können nur innerhalb einer Frist von einem Monat nach Zugang des Protokolls durch Klage angefochten werden. Über jede Versammlung ist eine Niederschrift zu fertigen, die den Gesellschaftern in Textform zu übersenden ist.</w:t>
      </w:r>
    </w:p>
    <w:p>
      <w:pPr>
        <w:pStyle w:val="Heading2"/>
      </w:pPr>
      <w:r>
        <w:rPr>
          <w:rFonts w:ascii="Times New Roman" w:hAnsi="Times New Roman"/>
        </w:rPr>
        <w:t>7 Beirat</w:t>
      </w:r>
    </w:p>
    <w:p>
      <w:pPr>
        <w:jc w:val="left"/>
      </w:pPr>
      <w:r>
        <w:t>7.1 Die Gesellschaft hat einen Beirat aus drei Mitgliedern. Die FrankenHealth Ventures GmbH entsendet zwei Mitglieder, die übrigen Gesellschafter benennen gemeinsam ein Mitglied. Der Beirat wählt aus seiner Mitte einen Vorsitzenden.</w:t>
      </w:r>
    </w:p>
    <w:p>
      <w:pPr>
        <w:jc w:val="left"/>
      </w:pPr>
      <w:r>
        <w:t>7.2 Der Beirat berät und überwacht die Geschäftsführung. Er tritt mindestens vierteljährlich zusammen. Die Geschäftsführung berichtet dem Beirat monatlich über den Geschäftsverlauf, die Entwicklungsvorhaben und die finanzielle Lage.</w:t>
      </w:r>
    </w:p>
    <w:p>
      <w:pPr>
        <w:jc w:val="left"/>
      </w:pPr>
      <w:r>
        <w:t>7.3 Der vorherigen Zustimmung des Beirats bedürfen:</w:t>
      </w:r>
    </w:p>
    <w:p>
      <w:pPr>
        <w:jc w:val="left"/>
      </w:pPr>
      <w:r>
        <w:t>7.3.1 Investitionen und Anschaffungen über 50.000,00 EUR im Einzelfall,</w:t>
      </w:r>
    </w:p>
    <w:p>
      <w:pPr>
        <w:jc w:val="left"/>
      </w:pPr>
      <w:r>
        <w:t>7.3.2 die Einstellung, die Beförderung und die Kündigung von Mitarbeitern ab der Vergütungsgruppe Leitung,</w:t>
      </w:r>
    </w:p>
    <w:p>
      <w:pPr>
        <w:jc w:val="left"/>
      </w:pPr>
      <w:r>
        <w:t>7.3.3 der Abschluss klinischer Studienverträge mit einem Volumen über 100.000,00 EUR.</w:t>
      </w:r>
    </w:p>
    <w:p>
      <w:pPr>
        <w:jc w:val="left"/>
      </w:pPr>
      <w:r>
        <w:t>7.4 Der Beirat kann sich eine Geschäftsordnung geben. Seine Beschlüsse werden mit einfacher Mehrheit gefasst.</w:t>
      </w:r>
    </w:p>
    <w:p>
      <w:pPr>
        <w:pStyle w:val="Heading2"/>
      </w:pPr>
      <w:r>
        <w:rPr>
          <w:rFonts w:ascii="Times New Roman" w:hAnsi="Times New Roman"/>
        </w:rPr>
        <w:t>8 Wettbewerbsverbot</w:t>
      </w:r>
    </w:p>
    <w:p>
      <w:pPr>
        <w:jc w:val="left"/>
      </w:pPr>
      <w:r>
        <w:t>8.1 Den Gesellschaftern ist es untersagt, sich unmittelbar oder mittelbar an einem Unternehmen zu beteiligen oder für ein Unternehmen tätig zu werden, das mit der Gesellschaft im Wettbewerb steht. Das Verbot gilt nicht für Beteiligungen von weniger als fünf Prozent an börsennotierten Gesellschaften.</w:t>
      </w:r>
    </w:p>
    <w:p>
      <w:pPr>
        <w:jc w:val="left"/>
      </w:pPr>
      <w:r>
        <w:t>8.2 Die Gesellschafterversammlung kann einem Gesellschafter mit einfacher Mehrheit Befreiung vom Wettbewerbsverbot erteilen. Für die FrankenHealth Ventures GmbH gilt das Wettbewerbsverbot nur für Beteiligungen an unmittelbaren Wettbewerbern im Bereich der implantierbaren Neurostimulation.</w:t>
      </w:r>
    </w:p>
    <w:p>
      <w:pPr>
        <w:pStyle w:val="Heading2"/>
      </w:pPr>
      <w:r>
        <w:rPr>
          <w:rFonts w:ascii="Times New Roman" w:hAnsi="Times New Roman"/>
        </w:rPr>
        <w:t>9 Verfügung über Geschäftsanteile</w:t>
      </w:r>
    </w:p>
    <w:p>
      <w:pPr>
        <w:jc w:val="left"/>
      </w:pPr>
      <w:r>
        <w:t>9.1 Die Abtretung, die Verpfändung und jede sonstige Verfügung über Geschäftsanteile oder Teile von ihnen bedürfen der vorherigen Zustimmung der Gesellschafterversammlung mit einer Mehrheit von fünfundsiebzig Prozent der abgegebenen Stimmen.</w:t>
      </w:r>
    </w:p>
    <w:p>
      <w:pPr>
        <w:jc w:val="left"/>
      </w:pPr>
      <w:r>
        <w:t>9.2 Beabsichtigt ein Gesellschafter, seinen Geschäftsanteil ganz oder teilweise an einen Dritten zu veräußern, so steht den übrigen Gesellschaftern ein Vorkaufsrecht im Verhältnis ihrer Geschäftsanteile zu. Der verkaufswillige Gesellschafter hat den beabsichtigten Verkauf und dessen Bedingungen den übrigen Gesellschaftern in Textform anzuzeigen; das Vorkaufsrecht ist innerhalb von zwei Monaten nach Zugang der Anzeige auszuüben.</w:t>
      </w:r>
    </w:p>
    <w:p>
      <w:pPr>
        <w:pStyle w:val="Heading2"/>
      </w:pPr>
      <w:r>
        <w:rPr>
          <w:rFonts w:ascii="Times New Roman" w:hAnsi="Times New Roman"/>
        </w:rPr>
        <w:t>10 Einziehung von Geschäftsanteilen</w:t>
      </w:r>
    </w:p>
    <w:p>
      <w:pPr>
        <w:jc w:val="left"/>
      </w:pPr>
      <w:r>
        <w:t>10.1 Die Einziehung eines Geschäftsanteils ist mit Zustimmung des betroffenen Gesellschafters jederzeit zulässig.</w:t>
      </w:r>
    </w:p>
    <w:p>
      <w:pPr>
        <w:jc w:val="left"/>
      </w:pPr>
      <w:r>
        <w:t>10.2 Die Einziehung ohne Zustimmung des betroffenen Gesellschafters ist zulässig, wenn:</w:t>
      </w:r>
    </w:p>
    <w:p>
      <w:pPr>
        <w:jc w:val="left"/>
      </w:pPr>
      <w:r>
        <w:t>10.2.1 über das Vermögen des Gesellschafters das Insolvenzverfahren eröffnet oder dessen Eröffnung mangels Masse abgelehnt wird,</w:t>
      </w:r>
    </w:p>
    <w:p>
      <w:pPr>
        <w:jc w:val="left"/>
      </w:pPr>
      <w:r>
        <w:t>10.2.2 in den Geschäftsanteil die Zwangsvollstreckung betrieben und nicht innerhalb von zwei Monaten aufgehoben wird,</w:t>
      </w:r>
    </w:p>
    <w:p>
      <w:pPr>
        <w:jc w:val="left"/>
      </w:pPr>
      <w:r>
        <w:t>10.2.3 in der Person des Gesellschafters ein wichtiger Grund vorliegt, der seine Ausschließung rechtfertigt.</w:t>
      </w:r>
    </w:p>
    <w:p>
      <w:pPr>
        <w:jc w:val="left"/>
      </w:pPr>
      <w:r>
        <w:t>10.3 Über die Einziehung beschließt die Gesellschafterversammlung mit einfacher Mehrheit der abgegebenen Stimmen. Der betroffene Gesellschafter hat bei diesem Beschluss kein Stimmrecht. Statt der Einziehung kann die Versammlung beschließen, dass der Geschäftsanteil auf die Gesellschaft, auf einen oder mehrere Gesellschafter oder auf einen von der Gesellschaft benannten Dritten zu übertragen ist.</w:t>
      </w:r>
    </w:p>
    <w:p>
      <w:pPr>
        <w:pStyle w:val="Heading2"/>
      </w:pPr>
      <w:r>
        <w:rPr>
          <w:rFonts w:ascii="Times New Roman" w:hAnsi="Times New Roman"/>
        </w:rPr>
        <w:t>11 Abfindung</w:t>
      </w:r>
    </w:p>
    <w:p>
      <w:pPr>
        <w:jc w:val="left"/>
      </w:pPr>
      <w:r>
        <w:t>11.1 Scheidet ein Gesellschafter durch Einziehung oder Ausschließung aus, so erhält er eine Abfindung. Diese bemisst sich nach dem Verkehrswert des Geschäftsanteils, der nach den Grundsätzen des Instituts der Wirtschaftsprüfer zur Unternehmensbewertung zu ermitteln ist.</w:t>
      </w:r>
    </w:p>
    <w:p>
      <w:pPr>
        <w:jc w:val="left"/>
      </w:pPr>
      <w:r>
        <w:t>11.2 Die Abfindung ist in drei gleichen Jahresraten zu zahlen; die erste Rate ist sechs Monate nach dem Ausscheiden fällig. Der jeweils offene Betrag ist mit zwei Prozentpunkten über dem Basiszinssatz zu verzinsen.</w:t>
      </w:r>
    </w:p>
    <w:p>
      <w:pPr>
        <w:jc w:val="left"/>
      </w:pPr>
      <w:r>
        <w:t>11.3 In den Fällen der Einziehung wegen Insolvenz oder Zwangsvollstreckung ist die Abfindung auf achtzig Prozent des nach Ziffer 11.1 ermittelten Wertes begrenzt.</w:t>
      </w:r>
    </w:p>
    <w:p>
      <w:pPr>
        <w:pStyle w:val="Heading2"/>
      </w:pPr>
      <w:r>
        <w:rPr>
          <w:rFonts w:ascii="Times New Roman" w:hAnsi="Times New Roman"/>
        </w:rPr>
        <w:t>12 Jahresabschluss und Ergebnisverwendung</w:t>
      </w:r>
    </w:p>
    <w:p>
      <w:pPr>
        <w:jc w:val="left"/>
      </w:pPr>
      <w:r>
        <w:t>12.1 Die Geschäftsführung stellt den Jahresabschluss innerhalb der gesetzlichen Fristen auf und legt ihn der Gesellschafterversammlung zur Feststellung vor.</w:t>
      </w:r>
    </w:p>
    <w:p>
      <w:pPr>
        <w:jc w:val="left"/>
      </w:pPr>
      <w:r>
        <w:t>12.2 Über die Verwendung des Ergebnisses beschließt die Gesellschafterversammlung mit einfacher Mehrheit. Sie kann Gewinne ganz oder teilweise in Gewinnrücklagen einstellen oder als Gewinnvortrag ausweisen. Ein Anspruch auf Vollausschüttung besteht nicht.</w:t>
      </w:r>
    </w:p>
    <w:p>
      <w:pPr>
        <w:pStyle w:val="Heading2"/>
      </w:pPr>
      <w:r>
        <w:rPr>
          <w:rFonts w:ascii="Times New Roman" w:hAnsi="Times New Roman"/>
        </w:rPr>
        <w:t>13 Kündigung und Ausscheiden</w:t>
      </w:r>
    </w:p>
    <w:p>
      <w:pPr>
        <w:jc w:val="left"/>
      </w:pPr>
      <w:r>
        <w:t>13.1 Jeder Gesellschafter kann die Gesellschaft mit einer Frist von zwölf Monaten zum Ende eines Geschäftsjahres, erstmals zum 31.12.2028, in Textform gegenüber der Gesellschaft und den übrigen Gesellschaftern kündigen.</w:t>
      </w:r>
    </w:p>
    <w:p>
      <w:pPr>
        <w:jc w:val="left"/>
      </w:pPr>
      <w:r>
        <w:t>13.2 Die Kündigung führt nicht zur Auflösung der Gesellschaft, sondern zum Ausscheiden des kündigenden Gesellschafters gegen Abfindung nach Ziffer 11. Sein Geschäftsanteil ist einzuziehen oder nach Wahl der Gesellschafterversammlung zu übertragen.</w:t>
      </w:r>
    </w:p>
    <w:p>
      <w:pPr>
        <w:pStyle w:val="Heading2"/>
      </w:pPr>
      <w:r>
        <w:rPr>
          <w:rFonts w:ascii="Times New Roman" w:hAnsi="Times New Roman"/>
        </w:rPr>
        <w:t>14 Bekanntmachungen und Schlussbestimmungen</w:t>
      </w:r>
    </w:p>
    <w:p>
      <w:pPr>
        <w:jc w:val="left"/>
      </w:pPr>
      <w:r>
        <w:t>14.1 Bekanntmachungen der Gesellschaft erfolgen ausschließlich im Bundesanzeiger.</w:t>
      </w:r>
    </w:p>
    <w:p>
      <w:pPr>
        <w:jc w:val="left"/>
      </w:pPr>
      <w:r>
        <w:t>14.2 Die Gründungskosten trägt die Gesellschaft bis zu einem Höchstbetrag von 2.500,00 EUR.</w:t>
      </w:r>
    </w:p>
    <w:p>
      <w:pPr>
        <w:jc w:val="left"/>
      </w:pPr>
      <w:r>
        <w:t>14.3 Sollte eine Bestimmung dieses Vertrages unwirksam oder undurchführbar sein oder werden, so wird die Wirksamkeit der übrigen Bestimmungen davon nicht berührt. An die Stelle der unwirksamen oder undurchführbaren Bestimmung tritt eine Regelung, die dem wirtschaftlich Gewollten am nächsten kommt. Gleiches gilt für etwaige Lücken des Vertrages.</w:t>
      </w:r>
    </w:p>
    <w:p>
      <w:pPr>
        <w:jc w:val="left"/>
      </w:pPr>
      <w:r>
        <w:t>14.4 Änderungen und Ergänzungen dieses Vertrages bedürfen der notariellen Beurkundung, soweit nicht das Gesetz eine strengere Form vorsieht.</w:t>
      </w:r>
    </w:p>
    <w:p/>
    <w:p>
      <w:pPr>
        <w:jc w:val="left"/>
      </w:pPr>
      <w:r>
        <w:t>Beglaubigter Auszug aus der notariellen Neufassung. Für die Übereinstimmung mit der Urschrift: Notar Dr. Alfons Reinboth, Erlangen, 06.03.2023.</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