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Geschäftsführer-Anstellungsvertrag</w:t>
      </w:r>
    </w:p>
    <w:p>
      <w:pPr>
        <w:jc w:val="left"/>
      </w:pPr>
      <w:r>
        <w:t>zwischen der Neuralis MedTech GmbH, Henkestraße 91, 91054 Erlangen, vertreten durch die Gesellschafterversammlung, diese vertreten durch den Beiratsvorsitzenden Herrn Prof. Dr. Cornelius Baumhauer (nachfolgend Gesellschaft), und Herrn Dr. Henrik Vogt, Ingenieur, wohnhaft Schuhstraße 12, 91052 Erlangen (nachfolgend Geschäftsführer).</w:t>
      </w:r>
    </w:p>
    <w:p>
      <w:pPr>
        <w:jc w:val="left"/>
      </w:pPr>
      <w:r>
        <w:t>Dieser Vertrag gibt die Anstellungsbedingungen vollständig wieder.</w:t>
      </w:r>
    </w:p>
    <w:p>
      <w:pPr>
        <w:pStyle w:val="Heading2"/>
      </w:pPr>
      <w:r>
        <w:rPr>
          <w:rFonts w:ascii="Times New Roman" w:hAnsi="Times New Roman"/>
        </w:rPr>
        <w:t>1 Aufgabe und Stellung</w:t>
      </w:r>
    </w:p>
    <w:p>
      <w:pPr>
        <w:jc w:val="left"/>
      </w:pPr>
      <w:r>
        <w:t>1.1 Der Geschäftsführer wurde durch Beschluss der Gesellschafterversammlung vom 24.02.2023 zum Geschäftsführer der Gesellschaft bestellt. Die Bestellung ist Gegenstand einer gesonderten Organentscheidung; dieser Vertrag regelt das schuldrechtliche Anstellungsverhältnis.</w:t>
      </w:r>
    </w:p>
    <w:p>
      <w:pPr>
        <w:jc w:val="left"/>
      </w:pPr>
      <w:r>
        <w:t>1.2 Der Geschäftsführer verantwortet die Ressorts Entwicklung, regulatorische Zulassung und klinische Kooperationen. Er führt die Geschäfte der Gesellschaft nach Maßgabe der Gesetze, des Gesellschaftsvertrages, einer etwaigen Geschäftsordnung sowie der Beschlüsse und Weisungen der Gesellschafterversammlung und des Beirats.</w:t>
      </w:r>
    </w:p>
    <w:p>
      <w:pPr>
        <w:jc w:val="left"/>
      </w:pPr>
      <w:r>
        <w:t>1.3 Der Geschäftsführer hat die Sorgfalt eines ordentlichen Geschäftsmannes anzuwenden. Er ist verpflichtet, die ihm durch Gesellschaftsvertrag, Geschäftsordnung und Beschlusslage gesetzten Zustimmungsvorbehalte zu beachten.</w:t>
      </w:r>
    </w:p>
    <w:p>
      <w:pPr>
        <w:pStyle w:val="Heading2"/>
      </w:pPr>
      <w:r>
        <w:rPr>
          <w:rFonts w:ascii="Times New Roman" w:hAnsi="Times New Roman"/>
        </w:rPr>
        <w:t>2 Arbeitszeit und Arbeitsort</w:t>
      </w:r>
    </w:p>
    <w:p>
      <w:pPr>
        <w:jc w:val="left"/>
      </w:pPr>
      <w:r>
        <w:t>2.1 Der Geschäftsführer stellt seine volle Arbeitskraft in den Dienst der Gesellschaft. Eine feste Arbeitszeit ist nicht vereinbart; der Geschäftsführer richtet seine Tätigkeit an den Erfordernissen der Gesellschaft aus.</w:t>
      </w:r>
    </w:p>
    <w:p>
      <w:pPr>
        <w:jc w:val="left"/>
      </w:pPr>
      <w:r>
        <w:t>2.2 Dienstort ist der Sitz der Gesellschaft in Erlangen. Der Geschäftsführer ist verpflichtet, auch auswärts tätig zu werden, soweit die Belange der Gesellschaft dies erfordern.</w:t>
      </w:r>
    </w:p>
    <w:p>
      <w:pPr>
        <w:pStyle w:val="Heading2"/>
      </w:pPr>
      <w:r>
        <w:rPr>
          <w:rFonts w:ascii="Times New Roman" w:hAnsi="Times New Roman"/>
        </w:rPr>
        <w:t>3 Vergütung</w:t>
      </w:r>
    </w:p>
    <w:p>
      <w:pPr>
        <w:jc w:val="left"/>
      </w:pPr>
      <w:r>
        <w:t>3.1 Der Geschäftsführer erhält eine feste Vergütung von 12.000,00 EUR brutto monatlich, zahlbar jeweils zum letzten Werktag des Kalendermonats.</w:t>
      </w:r>
    </w:p>
    <w:p>
      <w:pPr>
        <w:jc w:val="left"/>
      </w:pPr>
      <w:r>
        <w:t>3.2 Daneben erhält der Geschäftsführer eine variable Vergütung von bis zu 40.000,00 EUR jährlich. Sie wird fällig, soweit die vom Beirat jährlich festgelegten Meilensteine zur Zulassung, zur Gewinnung von Pilotkunden und zum Abschluss einer Finanzierungsrunde erreicht werden.</w:t>
      </w:r>
    </w:p>
    <w:p>
      <w:pPr>
        <w:jc w:val="left"/>
      </w:pPr>
      <w:r>
        <w:t>3.3 Die Gesellschaft schließt für den Geschäftsführer eine Vermögensschaden-Haftpflichtversicherung (D&amp;O-Versicherung) mit marktüblicher Deckungssumme ab und trägt die Prämie.</w:t>
      </w:r>
    </w:p>
    <w:p>
      <w:pPr>
        <w:jc w:val="left"/>
      </w:pPr>
      <w:r>
        <w:t>3.4 Mit der Vergütung sind sämtliche Tätigkeiten des Geschäftsführers für die Gesellschaft abgegolten. Überstunden, Mehr-, Sonn- und Feiertagsarbeit werden nicht gesondert vergütet.</w:t>
      </w:r>
    </w:p>
    <w:p>
      <w:pPr>
        <w:pStyle w:val="Heading2"/>
      </w:pPr>
      <w:r>
        <w:rPr>
          <w:rFonts w:ascii="Times New Roman" w:hAnsi="Times New Roman"/>
        </w:rPr>
        <w:t>4 Urlaub und Verhinderung</w:t>
      </w:r>
    </w:p>
    <w:p>
      <w:pPr>
        <w:jc w:val="left"/>
      </w:pPr>
      <w:r>
        <w:t>4.1 Der Geschäftsführer hat Anspruch auf einen bezahlten Jahresurlaub von 30 Arbeitstagen. Die zeitliche Lage des Urlaubs stimmt der Geschäftsführer mit dem Beiratsvorsitzenden ab, damit die Belange der Gesellschaft gewahrt bleiben.</w:t>
      </w:r>
    </w:p>
    <w:p>
      <w:pPr>
        <w:jc w:val="left"/>
      </w:pPr>
      <w:r>
        <w:t>4.2 Bei einer durch Krankheit oder einen anderen vom Geschäftsführer nicht zu vertretenden Umstand verursachten Arbeitsverhinderung wird die feste Vergütung für die Dauer von sechs Wochen fortgezahlt. Leistungen Dritter, insbesondere Krankengeld, sind anzurechnen, soweit sie auf Beiträgen der Gesellschaft beruhen.</w:t>
      </w:r>
    </w:p>
    <w:p>
      <w:pPr>
        <w:pStyle w:val="Heading2"/>
      </w:pPr>
      <w:r>
        <w:rPr>
          <w:rFonts w:ascii="Times New Roman" w:hAnsi="Times New Roman"/>
        </w:rPr>
        <w:t>5 Zustimmungsbedürftige Geschäfte</w:t>
      </w:r>
    </w:p>
    <w:p>
      <w:pPr>
        <w:jc w:val="left"/>
      </w:pPr>
      <w:r>
        <w:t>5.1 Der Geschäftsführer darf Entwicklungsentscheidungen mit einem finanziellen Umfang bis zu 50.000,00 EUR im Einzelfall eigenständig treffen.</w:t>
      </w:r>
    </w:p>
    <w:p>
      <w:pPr>
        <w:jc w:val="left"/>
      </w:pPr>
      <w:r>
        <w:t>5.2 Der vorherigen Zustimmung des Beirats oder der Gesellschafterversammlung nach Maßgabe des Gesellschaftsvertrages bedürfen insbesondere klinische Studien, Übertragungen und Lizenzierungen von Patenten, Verträge mit einem Volumen über 75.000,00 EUR sowie Einstellungen und Kündigungen im Leitungskreis.</w:t>
      </w:r>
    </w:p>
    <w:p>
      <w:pPr>
        <w:pStyle w:val="Heading2"/>
      </w:pPr>
      <w:r>
        <w:rPr>
          <w:rFonts w:ascii="Times New Roman" w:hAnsi="Times New Roman"/>
        </w:rPr>
        <w:t>6 Nebentätigkeit, Wettbewerb und Verschwiegenheit</w:t>
      </w:r>
    </w:p>
    <w:p>
      <w:pPr>
        <w:jc w:val="left"/>
      </w:pPr>
      <w:r>
        <w:t>6.1 Jede entgeltliche oder unentgeltliche Nebentätigkeit bedarf der vorherigen Zustimmung der Gesellschafterversammlung. Die Zustimmung kann widerrufen werden, wenn die Belange der Gesellschaft dies erfordern.</w:t>
      </w:r>
    </w:p>
    <w:p>
      <w:pPr>
        <w:jc w:val="left"/>
      </w:pPr>
      <w:r>
        <w:t>6.2 Während der Dauer dieses Vertrages ist dem Geschäftsführer jede Tätigkeit für ein Wettbewerbsunternehmen untersagt.</w:t>
      </w:r>
    </w:p>
    <w:p>
      <w:pPr>
        <w:jc w:val="left"/>
      </w:pPr>
      <w:r>
        <w:t>6.3 Der Geschäftsführer wahrt über alle vertraulichen Angelegenheiten der Gesellschaft, insbesondere über Entwicklungs-, Patent- und Studiendaten, auch nach Beendigung des Vertrages Stillschweigen.</w:t>
      </w:r>
    </w:p>
    <w:p>
      <w:pPr>
        <w:jc w:val="left"/>
      </w:pPr>
      <w:r>
        <w:t>6.4 Alle Arbeitsergebnisse und Erfindungen, die der Geschäftsführer in Ausübung seiner Tätigkeit schafft, stehen der Gesellschaft zu; er tritt etwaige Rechte hieran schon jetzt an die Gesellschaft ab.</w:t>
      </w:r>
    </w:p>
    <w:p>
      <w:pPr>
        <w:pStyle w:val="Heading2"/>
      </w:pPr>
      <w:r>
        <w:rPr>
          <w:rFonts w:ascii="Times New Roman" w:hAnsi="Times New Roman"/>
        </w:rPr>
        <w:t>7 Vertragsdauer und Beendigung</w:t>
      </w:r>
    </w:p>
    <w:p>
      <w:pPr>
        <w:jc w:val="left"/>
      </w:pPr>
      <w:r>
        <w:t>7.1 Der Vertrag beginnt am 01.03.2023 und wird auf unbestimmte Zeit geschlossen.</w:t>
      </w:r>
    </w:p>
    <w:p>
      <w:pPr>
        <w:jc w:val="left"/>
      </w:pPr>
      <w:r>
        <w:t>7.2 Der Vertrag kann mit einer Frist von sechs Monaten zum Ende eines Kalenderhalbjahres ordentlich gekündigt werden. Das Recht zur außerordentlichen Kündigung aus wichtigem Grund bleibt unberührt.</w:t>
      </w:r>
    </w:p>
    <w:p>
      <w:pPr>
        <w:jc w:val="left"/>
      </w:pPr>
      <w:r>
        <w:t>7.3 Wird der Geschäftsführer als Organ abberufen, so gilt dies zugleich als Kündigung des Anstellungsverhältnisses zum nächsten zulässigen Termin, es sei denn, die Gesellschafterversammlung trifft eine abweichende Regelung. Die Abberufung als Organ und die Kündigung des Anstellungsvertrages sind rechtlich getrennt zu beurteilen.</w:t>
      </w:r>
    </w:p>
    <w:p>
      <w:pPr>
        <w:jc w:val="left"/>
      </w:pPr>
      <w:r>
        <w:t>7.4 Nach Zugang einer Kündigung oder nach der Abberufung kann die Gesellschaft den Geschäftsführer unter Fortzahlung der Vergütung von der Pflicht zur Dienstleistung freistellen.</w:t>
      </w:r>
    </w:p>
    <w:p>
      <w:pPr>
        <w:pStyle w:val="Heading2"/>
      </w:pPr>
      <w:r>
        <w:rPr>
          <w:rFonts w:ascii="Times New Roman" w:hAnsi="Times New Roman"/>
        </w:rPr>
        <w:t>8 Schlussbestimmungen</w:t>
      </w:r>
    </w:p>
    <w:p>
      <w:pPr>
        <w:jc w:val="left"/>
      </w:pPr>
      <w:r>
        <w:t>8.1 Änderungen und Ergänzungen dieses Vertrages bedürfen der Textform. Dies gilt auch für die Aufhebung dieser Formklausel.</w:t>
      </w:r>
    </w:p>
    <w:p>
      <w:pPr>
        <w:jc w:val="left"/>
      </w:pPr>
      <w:r>
        <w:t>8.2 Sollte eine Bestimmung dieses Vertrages unwirksam sein oder werden, so bleibt die Wirksamkeit der übrigen Bestimmungen unberührt. An die Stelle der unwirksamen Bestimmung tritt eine Regelung, die dem wirtschaftlich Gewollten am nächsten kommt.</w:t>
      </w:r>
    </w:p>
    <w:p>
      <w:pPr>
        <w:jc w:val="left"/>
      </w:pPr>
      <w:r>
        <w:t>Erlangen, den 27.02.2023</w:t>
      </w:r>
    </w:p>
    <w:p>
      <w:pPr>
        <w:jc w:val="left"/>
      </w:pPr>
      <w:r>
        <w:t>Für die Gesellschaft: Prof. Dr. Cornelius Baumhauer, Beiratsvorsitzender</w:t>
      </w:r>
    </w:p>
    <w:p>
      <w:pPr>
        <w:jc w:val="left"/>
      </w:pPr>
      <w:r>
        <w:t>Der Geschäftsführer: Dr. Henrik Vogt</w:t>
      </w:r>
    </w:p>
    <w:sectPr w:rsidR="00FC693F" w:rsidRPr="0006063C" w:rsidSect="00034616">
      <w:pgSz w:w="11906" w:h="16838"/>
      <w:pgMar w:top="1020" w:right="1417" w:bottom="907" w:left="141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