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Beirats- und Gesellschafterprotokolle, Auszüge</w:t>
      </w:r>
    </w:p>
    <w:p>
      <w:pPr>
        <w:pStyle w:val="Heading2"/>
      </w:pPr>
      <w:r>
        <w:rPr>
          <w:rFonts w:ascii="Times New Roman" w:hAnsi="Times New Roman"/>
        </w:rPr>
        <w:t>1 Sitzung vom 14.02.2025</w:t>
      </w:r>
    </w:p>
    <w:p>
      <w:pPr>
        <w:jc w:val="left"/>
      </w:pPr>
      <w:r>
        <w:t>Die FrankenHealth Ventures GmbH verlangt eine Kostensenkung und die Verschiebung der zweiten klinischen Studie. Dr. Vogt widerspricht, weil sonst die CE-Roadmap scheitere. Beschluss: Die Studie wird um drei Monate verschoben, Dr. Vogt soll ein Alternativbudget vorlegen. Abstimmung: 68 Prozent dafür, 32 Prozent dagegen.</w:t>
      </w:r>
    </w:p>
    <w:p>
      <w:pPr>
        <w:pStyle w:val="Heading2"/>
      </w:pPr>
      <w:r>
        <w:rPr>
          <w:rFonts w:ascii="Times New Roman" w:hAnsi="Times New Roman"/>
        </w:rPr>
        <w:t>2 Sitzung vom 20.11.2025</w:t>
      </w:r>
    </w:p>
    <w:p>
      <w:pPr>
        <w:jc w:val="left"/>
      </w:pPr>
      <w:r>
        <w:t>Dr. Vogt verweigert die Erteilung einer Patentlizenz an einen US-Partner, weil er die Exklusivität für gefährlich hält. Ein Beschluss über den Verkauf der Patentfamilie NLM-4 wird nicht erreicht, weil hierfür fünfundsiebzig Prozent der Stimmen erforderlich sind; Dr. Vogt stimmt mit seinen Anteilen dagegen.</w:t>
      </w:r>
    </w:p>
    <w:p>
      <w:pPr>
        <w:pStyle w:val="Heading2"/>
      </w:pPr>
      <w:r>
        <w:rPr>
          <w:rFonts w:ascii="Times New Roman" w:hAnsi="Times New Roman"/>
        </w:rPr>
        <w:t>3 Sitzung vom 06.05.2026</w:t>
      </w:r>
    </w:p>
    <w:p>
      <w:pPr>
        <w:jc w:val="left"/>
      </w:pPr>
      <w:r>
        <w:t>Der Beirat weist Dr. Vogt an, zwei Entwicklerstellen erst nach einer Finanzierungszusage zu besetzen. Dr. Vogt akzeptiert die Weisung unter Protest.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