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Feststellungsbogen C0032, ausgefüllte Fassung</w:t>
      </w:r>
    </w:p>
    <w:p>
      <w:r>
        <w:rPr>
          <w:rFonts w:ascii="Times New Roman" w:hAnsi="Times New Roman"/>
          <w:b w:val="0"/>
          <w:i w:val="0"/>
          <w:sz w:val="22"/>
        </w:rPr>
        <w:t>Deutsche Rentenversicherung Bund - Feststellung des sozialversicherungsrechtlichen Status eines Gesellschafter-Geschäftsführers</w:t>
      </w:r>
    </w:p>
    <w:p>
      <w:r>
        <w:rPr>
          <w:rFonts w:ascii="Times New Roman" w:hAnsi="Times New Roman"/>
          <w:b w:val="0"/>
          <w:i w:val="0"/>
          <w:sz w:val="22"/>
        </w:rPr>
        <w:t>Ausgefüllt von: Caroline Benkert, CFO Neuralis MedTech GmbH - Datum: 25.08.2023</w:t>
      </w:r>
    </w:p>
    <w:p>
      <w:pPr>
        <w:pStyle w:val="Heading2"/>
      </w:pPr>
      <w:r>
        <w:t>1 Angaben zur Beteiligung</w:t>
      </w:r>
    </w:p>
    <w:p>
      <w:r>
        <w:rPr>
          <w:rFonts w:ascii="Times New Roman" w:hAnsi="Times New Roman"/>
          <w:b w:val="0"/>
          <w:i w:val="0"/>
          <w:sz w:val="22"/>
        </w:rPr>
        <w:t>1.1 Höhe der Kapitalbeteiligung des Geschäftsführers am Stammkapital: 32 Prozent.</w:t>
      </w:r>
    </w:p>
    <w:p>
      <w:r>
        <w:rPr>
          <w:rFonts w:ascii="Times New Roman" w:hAnsi="Times New Roman"/>
          <w:b w:val="0"/>
          <w:i w:val="0"/>
          <w:sz w:val="22"/>
        </w:rPr>
        <w:t>1.2 Bestehen gesellschaftsvertragliche Sonderrechte (Vetorecht, Sperrminorität)? Zum Zeitpunkt der Antragstellung: Nein. Eine Sperrminorität für das Ressort Entwicklung wurde erst am 19.09.2025 nachträglich eingeführt, siehe Nachtragsurkunde.</w:t>
      </w:r>
    </w:p>
    <w:p>
      <w:r>
        <w:rPr>
          <w:rFonts w:ascii="Times New Roman" w:hAnsi="Times New Roman"/>
          <w:b w:val="0"/>
          <w:i w:val="0"/>
          <w:sz w:val="22"/>
        </w:rPr>
        <w:t>1.3 Kann der Geschäftsführer Beschlüsse der Gesellschafterversammlung mit einfacher Mehrheit verhindern? Nein.</w:t>
      </w:r>
    </w:p>
    <w:p>
      <w:r>
        <w:rPr>
          <w:rFonts w:ascii="Times New Roman" w:hAnsi="Times New Roman"/>
          <w:b w:val="0"/>
          <w:i w:val="0"/>
          <w:sz w:val="22"/>
        </w:rPr>
        <w:t>1.4 Kann der Geschäftsführer Beschlüsse mit qualifizierter Mehrheit (75 Prozent) verhindern? Ja, da 25 Prozent zur Verhinderung genügen und er 32 Prozent hält.</w:t>
      </w:r>
    </w:p>
    <w:p>
      <w:pPr>
        <w:pStyle w:val="Heading2"/>
      </w:pPr>
      <w:r>
        <w:t>2 Angaben zur Weisungsgebundenheit</w:t>
      </w:r>
    </w:p>
    <w:p>
      <w:r>
        <w:rPr>
          <w:rFonts w:ascii="Times New Roman" w:hAnsi="Times New Roman"/>
          <w:b w:val="0"/>
          <w:i w:val="0"/>
          <w:sz w:val="22"/>
        </w:rPr>
        <w:t>2.1 Unterliegt der Geschäftsführer einer Geschäftsordnung mit Zustimmungsvorbehalten? Ja, siehe Gesellschaftsvertrag Paragraf 7.3 (Beirat).</w:t>
      </w:r>
    </w:p>
    <w:p>
      <w:r>
        <w:rPr>
          <w:rFonts w:ascii="Times New Roman" w:hAnsi="Times New Roman"/>
          <w:b w:val="0"/>
          <w:i w:val="0"/>
          <w:sz w:val="22"/>
        </w:rPr>
        <w:t>2.2 Wurden dem Geschäftsführer seit Vertragsbeginn Weisungen erteilt? Angabe der Gesellschaft: Der Beirat hat am 06.05.2026 die Weisung erteilt, zwei Entwicklerstellen erst nach Finanzierungszusage zu besetzen. Am 14.02.2025 wurde die zweite klinische Studie um drei Monate verschoben.</w:t>
      </w:r>
    </w:p>
    <w:p>
      <w:r>
        <w:rPr>
          <w:rFonts w:ascii="Times New Roman" w:hAnsi="Times New Roman"/>
          <w:b w:val="0"/>
          <w:i w:val="0"/>
          <w:sz w:val="22"/>
        </w:rPr>
        <w:t>2.3 Feste Arbeitszeit vereinbart? Nein, laut Ziffer 2.1 des Anstellungsvertrags.</w:t>
      </w:r>
    </w:p>
    <w:p>
      <w:r>
        <w:rPr>
          <w:rFonts w:ascii="Times New Roman" w:hAnsi="Times New Roman"/>
          <w:b w:val="0"/>
          <w:i w:val="0"/>
          <w:sz w:val="22"/>
        </w:rPr>
        <w:t>2.4 Urlaubsanspruch vertraglich geregelt? Ja, 30 Arbeitstage, Abstimmung mit dem Beiratsvorsitzenden erforderlich (Stand bei Antragstellung 2023, seit Nachtrag 2025 für das Ressort Entwicklung nicht mehr erforderlich).</w:t>
      </w:r>
    </w:p>
    <w:p>
      <w:r>
        <w:rPr>
          <w:rFonts w:ascii="Times New Roman" w:hAnsi="Times New Roman"/>
          <w:b w:val="0"/>
          <w:i w:val="0"/>
          <w:sz w:val="22"/>
        </w:rPr>
        <w:t>2.5 Entgeltfortzahlung im Krankheitsfall vertraglich geregelt? Ja, sechs Wochen.</w:t>
      </w:r>
    </w:p>
    <w:p>
      <w:pPr>
        <w:pStyle w:val="Heading2"/>
      </w:pPr>
      <w:r>
        <w:t>3 Angaben zum Unternehmerrisiko</w:t>
      </w:r>
    </w:p>
    <w:p>
      <w:r>
        <w:rPr>
          <w:rFonts w:ascii="Times New Roman" w:hAnsi="Times New Roman"/>
          <w:b w:val="0"/>
          <w:i w:val="0"/>
          <w:sz w:val="22"/>
        </w:rPr>
        <w:t>3.1 Feste oder variable Vergütung? Feste Vergütung 12000 EUR monatlich, variable Vergütung bis 40000 EUR jährlich nach Meilensteinen.</w:t>
      </w:r>
    </w:p>
    <w:p>
      <w:r>
        <w:rPr>
          <w:rFonts w:ascii="Times New Roman" w:hAnsi="Times New Roman"/>
          <w:b w:val="0"/>
          <w:i w:val="0"/>
          <w:sz w:val="22"/>
        </w:rPr>
        <w:t>3.2 Wurde die variable Vergütung in der Vergangenheit tatsächlich in voller Höhe, teilweise oder gar nicht gezahlt? Angabe der Gesellschaft: 2023 stand aus, 2024 wurden 30000 EUR von möglichen 40000 EUR gezahlt, 2025 wurde die variable Vergütung auf Beschluss der Gesellschafterversammlung vom 18.07.2024 vollständig gestrichen.</w:t>
      </w:r>
    </w:p>
    <w:p>
      <w:r>
        <w:rPr>
          <w:rFonts w:ascii="Times New Roman" w:hAnsi="Times New Roman"/>
          <w:b w:val="0"/>
          <w:i w:val="0"/>
          <w:sz w:val="22"/>
        </w:rPr>
        <w:t>3.3 Hat der Geschäftsführer Sicherheiten für die Gesellschaft übernommen? Ja, persönliche Bürgschaft gegenüber der Hausbank in Höhe von 400000 EUR, übernommen am 03.06.2021 im Zusammenhang mit einem Investitionskredit für das Labor.</w:t>
      </w:r>
    </w:p>
    <w:p>
      <w:r>
        <w:rPr>
          <w:rFonts w:ascii="Times New Roman" w:hAnsi="Times New Roman"/>
          <w:b w:val="0"/>
          <w:i w:val="0"/>
          <w:sz w:val="22"/>
        </w:rPr>
        <w:t>3.4 Hat der Geschäftsführer der Gesellschaft Darlehen gewährt? Ja, 60000 EUR im Jahr 2024 zu drei Prozent Zinsen.</w:t>
      </w:r>
    </w:p>
    <w:p>
      <w:pPr>
        <w:pStyle w:val="Heading2"/>
      </w:pPr>
      <w:r>
        <w:t>4 Sonstige Angaben</w:t>
      </w:r>
    </w:p>
    <w:p>
      <w:r>
        <w:rPr>
          <w:rFonts w:ascii="Times New Roman" w:hAnsi="Times New Roman"/>
          <w:b w:val="0"/>
          <w:i w:val="0"/>
          <w:sz w:val="22"/>
        </w:rPr>
        <w:t>4.1 Ist der Geschäftsführer Mitgründer? Ja, Gründung 2019 als Alleingesellschafter, Reduzierung auf 32 Prozent im Zuge der Finanzierungsrunde 2021.</w:t>
      </w:r>
    </w:p>
    <w:p>
      <w:r>
        <w:rPr>
          <w:rFonts w:ascii="Times New Roman" w:hAnsi="Times New Roman"/>
          <w:b w:val="0"/>
          <w:i w:val="0"/>
          <w:sz w:val="22"/>
        </w:rPr>
        <w:t>4.2 Verfügt der Geschäftsführer über technisches Fachwissen, ohne das der Betrieb nicht fortgeführtt werden könnte? Angabe der Gesellschaft: Herr Dr. Vogt ist alleiniger Erfinder beziehungsweise Miterfinder der Patentfamilie NLM-4.</w:t>
      </w:r>
    </w:p>
    <w:p>
      <w:r>
        <w:rPr>
          <w:rFonts w:ascii="Times New Roman" w:hAnsi="Times New Roman"/>
          <w:b w:val="0"/>
          <w:i w:val="0"/>
          <w:sz w:val="22"/>
        </w:rPr>
        <w:t>Erklärung: Die Angaben wurden nach bestem Wissen gemacht. Rückfragen der Clearingstelle sind möglich.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