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 Widerspruchsstelle</w:t>
      </w:r>
    </w:p>
    <w:p>
      <w:r>
        <w:rPr>
          <w:rFonts w:ascii="Times New Roman" w:hAnsi="Times New Roman"/>
          <w:b w:val="0"/>
          <w:i w:val="0"/>
          <w:sz w:val="22"/>
        </w:rPr>
        <w:t>Ruhrstraße 2, 10709 Berlin</w:t>
      </w:r>
    </w:p>
    <w:p/>
    <w:p>
      <w:pPr>
        <w:pStyle w:val="Heading1"/>
      </w:pPr>
      <w:r>
        <w:t>Widerspruchsbescheid</w:t>
      </w:r>
    </w:p>
    <w:p>
      <w:r>
        <w:rPr>
          <w:rFonts w:ascii="Times New Roman" w:hAnsi="Times New Roman"/>
          <w:b w:val="0"/>
          <w:i w:val="0"/>
          <w:sz w:val="22"/>
        </w:rPr>
        <w:t>Aktenzeichen: SV-2023-771402-VOGT-W - Berlin, den 04.05.2026</w:t>
      </w:r>
    </w:p>
    <w:p>
      <w:pPr>
        <w:pStyle w:val="Heading2"/>
      </w:pPr>
      <w:r>
        <w:t>1 Entscheidung</w:t>
      </w:r>
    </w:p>
    <w:p>
      <w:r>
        <w:rPr>
          <w:rFonts w:ascii="Times New Roman" w:hAnsi="Times New Roman"/>
          <w:b w:val="0"/>
          <w:i w:val="0"/>
          <w:sz w:val="22"/>
        </w:rPr>
        <w:t>Der Widerspruch der Neuralis MedTech GmbH und des Herrn Dr. Henrik Vogt vom 20.02.2026 in der Fassung der Ergänzung vom 10.03.2026 gegen den Bescheid vom 09.02.2026 wird zurückgewiesen.</w:t>
      </w:r>
    </w:p>
    <w:p>
      <w:pPr>
        <w:pStyle w:val="Heading2"/>
      </w:pPr>
      <w:r>
        <w:t>2 Gründe</w:t>
      </w:r>
    </w:p>
    <w:p>
      <w:r>
        <w:rPr>
          <w:rFonts w:ascii="Times New Roman" w:hAnsi="Times New Roman"/>
          <w:b w:val="0"/>
          <w:i w:val="0"/>
          <w:sz w:val="22"/>
        </w:rPr>
        <w:t>2.1 Die mit Nachtrag vom 19.09.2025 eingeführte Sperrminorität nach Paragraf 6.5 des Gesellschaftsvertrags ist gegenständlich auf das Ressort Entwicklung und auf laufende klinische Studien beschränkt. Sie erstreckt sich nicht auf Beschlüsse der Gesellschafterversammlung zur Abberufung, zur Vergütung oder zu sonstigen für den Status maßgeblichen Fragen.</w:t>
      </w:r>
    </w:p>
    <w:p>
      <w:r>
        <w:rPr>
          <w:rFonts w:ascii="Times New Roman" w:hAnsi="Times New Roman"/>
          <w:b w:val="0"/>
          <w:i w:val="0"/>
          <w:sz w:val="22"/>
        </w:rPr>
        <w:t>2.2 Nach ständiger Rechtsprechung des Bundessozialgerichts kommt es für die sozialversicherungsrechtliche Beurteilung eines Gesellschafter-Geschäftsführers maßgeblich auf dessen Rechtsmacht innerhalb der Gesellschaft an, wie sie sich aus dem Gesellschaftsvertrag ergibt, nicht auf seine faktische Position oder seine Unentbehrlichkeit für das operative Geschäft (Bundessozialgericht, Urteil vom 19.09.2019, B 12 R 25/18 R; Bundessozialgericht, Urteil vom 14.03.2018, B 12 KR 13/17 R; Bundessozialgericht, Urteil vom 12.05.2020, B 12 R 5/16 R).</w:t>
      </w:r>
    </w:p>
    <w:p>
      <w:r>
        <w:rPr>
          <w:rFonts w:ascii="Times New Roman" w:hAnsi="Times New Roman"/>
          <w:b w:val="0"/>
          <w:i w:val="0"/>
          <w:sz w:val="22"/>
        </w:rPr>
        <w:t>2.3 Eine punktuelle Sperrminorität für einzelne Sachbereiche genügt nach der Rechtsprechung nicht, um eine umfassende Rechtsmacht zur Verhinderung ihm nicht genehmer Weisungen in allen für das Anstellungsverhältnis zentralen Fragen zu begründen (vergleiche Bundessozialgericht, Urteil vom 12.05.2020, B 12 R 5/16 R, sowie Bundessozialgericht, Urteil vom 08.07.2020, B 12 R 6/19 R, zur Notwendigkeit einer im Gesellschaftsvertrag verankerten Rechtsmacht statt bloßer Rücksichtnahme unter Familienangehörigen oder Mitgründern).</w:t>
      </w:r>
    </w:p>
    <w:p>
      <w:r>
        <w:rPr>
          <w:rFonts w:ascii="Times New Roman" w:hAnsi="Times New Roman"/>
          <w:b w:val="0"/>
          <w:i w:val="0"/>
          <w:sz w:val="22"/>
        </w:rPr>
        <w:t>2.4 Die persönliche Bürgschaft über 400000,00 EUR und die technische Schlüsselstellung von Herrn Dr. Vogt begründen ein wirtschaftliches Eigeninteresse, ersetzen jedoch keine gesellschaftsrechtliche Rechtsmacht und sind allenfalls im Rahmen einer Gesamtwürdigung von untergeordneter Bedeutung.</w:t>
      </w:r>
    </w:p>
    <w:p>
      <w:r>
        <w:rPr>
          <w:rFonts w:ascii="Times New Roman" w:hAnsi="Times New Roman"/>
          <w:b w:val="0"/>
          <w:i w:val="0"/>
          <w:sz w:val="22"/>
        </w:rPr>
        <w:t>2.5 Die vertraglich vereinbarte feste Vergütung, der Urlaubsanspruch von 30 Arbeitstagen und die sechswöchige Entgeltfortzahlung im Krankheitsfall sind gewichtige Indizien für ein Beschäftigungsverhältnis.</w:t>
      </w:r>
    </w:p>
    <w:p>
      <w:pPr>
        <w:pStyle w:val="Heading2"/>
      </w:pPr>
      <w:r>
        <w:t>3 Rechtsbehelfsbelehrung</w:t>
      </w:r>
    </w:p>
    <w:p>
      <w:r>
        <w:rPr>
          <w:rFonts w:ascii="Times New Roman" w:hAnsi="Times New Roman"/>
          <w:b w:val="0"/>
          <w:i w:val="0"/>
          <w:sz w:val="22"/>
        </w:rPr>
        <w:t>Gegen diesen Widerspruchsbescheid kann innerhalb eines Monats nach Zustellung Klage beim Sozialgericht Erlangen, Ohmplatz 4, 91054 Erlangen, erhoben werden.</w:t>
      </w:r>
    </w:p>
    <w:p>
      <w:r>
        <w:rPr>
          <w:rFonts w:ascii="Times New Roman" w:hAnsi="Times New Roman"/>
          <w:b w:val="0"/>
          <w:i w:val="0"/>
          <w:sz w:val="22"/>
        </w:rPr>
        <w:t>Mit freundlichen Grüßen, i.A. Widerspruchsstelle Statusfeststellung</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