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Protokoll des Erörterungstermins und Vergleichsniederschrift</w:t>
      </w:r>
    </w:p>
    <w:p>
      <w:r>
        <w:rPr>
          <w:rFonts w:ascii="Times New Roman" w:hAnsi="Times New Roman"/>
          <w:b w:val="0"/>
          <w:i w:val="0"/>
          <w:sz w:val="22"/>
        </w:rPr>
        <w:t>Sozialgericht Erlangen, Az. S 5 R 214/26 - Termin vom 20.10.2026</w:t>
      </w:r>
    </w:p>
    <w:p>
      <w:pPr>
        <w:pStyle w:val="Heading2"/>
      </w:pPr>
      <w:r>
        <w:t>1 Anwesende</w:t>
      </w:r>
    </w:p>
    <w:p>
      <w:r>
        <w:rPr>
          <w:rFonts w:ascii="Times New Roman" w:hAnsi="Times New Roman"/>
          <w:b w:val="0"/>
          <w:i w:val="0"/>
          <w:sz w:val="22"/>
        </w:rPr>
        <w:t>Für die Kläger: Dr. Fabian Rehbogen, Rechtsanwalt. Dr. Henrik Vogt, persönlich. Für die Beklagte: Regierungsdirektorin Frau Bettina Holzapfel.</w:t>
      </w:r>
    </w:p>
    <w:p>
      <w:pPr>
        <w:pStyle w:val="Heading2"/>
      </w:pPr>
      <w:r>
        <w:t>2 Erörterung</w:t>
      </w:r>
    </w:p>
    <w:p>
      <w:r>
        <w:rPr>
          <w:rFonts w:ascii="Times New Roman" w:hAnsi="Times New Roman"/>
          <w:b w:val="0"/>
          <w:i w:val="0"/>
          <w:sz w:val="22"/>
        </w:rPr>
        <w:t>Das Gericht weist darauf hin, dass die Sperrminorität nach Paragraf 6.5 des Gesellschaftsvertrags nach vorläufiger Einschätzung der Kammer zu eng gefasst sei, um für die Zeit ab September 2025 eine durchgreifende Rechtsmachtänderung zu belegen. Die Kammer regt gleichwohl eine vergleichsweise Erledigung an, weil die tatsächliche Handhabung im Einzelfall streitig bleibt und eine Beweisaufnahme mit erheblichem Aufwand verbunden wäre.</w:t>
      </w:r>
    </w:p>
    <w:p>
      <w:pPr>
        <w:pStyle w:val="Heading2"/>
      </w:pPr>
      <w:r>
        <w:t>3 Vergleich</w:t>
      </w:r>
    </w:p>
    <w:p>
      <w:r>
        <w:rPr>
          <w:rFonts w:ascii="Times New Roman" w:hAnsi="Times New Roman"/>
          <w:b w:val="0"/>
          <w:i w:val="0"/>
          <w:sz w:val="22"/>
        </w:rPr>
        <w:t>Die Beteiligten schließen folgenden Vergleich: Für den Zeitraum vom 01.03.2023 bis zum 31.12.2025 besteht Sozialversicherungspflicht des Herrn Dr. Vogt als Geschäftsführer der Neuralis MedTech GmbH. Für den Zeitraum ab dem 01.01.2026 stellt die Beklagte fest, dass Herr Dr. Vogt nicht der Versicherungspflicht unterliegt, nachdem die Klägerin zu 1 mit weiterem Nachtrag vom 15.10.2026 die Sperrminorität auf sämtliche Beschlüsse zur Feststellung des Jahresbudgets und zur Vergütungsstruktur des Klägers zu 2 erstreckt hat.</w:t>
      </w:r>
    </w:p>
    <w:p>
      <w:r>
        <w:rPr>
          <w:rFonts w:ascii="Times New Roman" w:hAnsi="Times New Roman"/>
          <w:b w:val="0"/>
          <w:i w:val="0"/>
          <w:sz w:val="22"/>
        </w:rPr>
        <w:t>Die Beitragsnachforderung für den anerkannten Zeitraum wird auf Grundlage der Anlage zur Beitragsberechnung festgesetzt. Säumniszuschläge werden ab dem 18.11.2025 (Zugang der Anhörung) erhoben. Die Kosten des Verfahrens werden gegeneinander aufgehoben.</w:t>
      </w:r>
    </w:p>
    <w:p>
      <w:r>
        <w:rPr>
          <w:rFonts w:ascii="Times New Roman" w:hAnsi="Times New Roman"/>
          <w:b w:val="0"/>
          <w:i w:val="0"/>
          <w:sz w:val="22"/>
        </w:rPr>
        <w:t>Vorgelesen und genehmigt. Protokollführerin: Justizangestellte Frau Karin Deml.</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