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Nachtrag zum Geschäftsführer-Anstellungsvertrag</w:t>
      </w:r>
    </w:p>
    <w:p>
      <w:r>
        <w:rPr>
          <w:rFonts w:ascii="Times New Roman" w:hAnsi="Times New Roman"/>
          <w:b w:val="0"/>
          <w:i w:val="0"/>
          <w:sz w:val="22"/>
        </w:rPr>
        <w:t>zwischen der Neuralis MedTech GmbH und Herrn Dr. Henrik Vogt - Nachtrag Nr. 1 vom 25.09.2025</w:t>
      </w:r>
    </w:p>
    <w:p>
      <w:pPr>
        <w:pStyle w:val="Heading2"/>
      </w:pPr>
      <w:r>
        <w:t>1 Anlass</w:t>
      </w:r>
    </w:p>
    <w:p>
      <w:r>
        <w:rPr>
          <w:rFonts w:ascii="Times New Roman" w:hAnsi="Times New Roman"/>
          <w:b w:val="0"/>
          <w:i w:val="0"/>
          <w:sz w:val="22"/>
        </w:rPr>
        <w:t>Im Zusammenhang mit der Satzungsänderung vom 02.09.2025 (Sperrminorität Ressort Entwicklung) passen die Parteien den Anstellungsvertrag vom 27.02.2023 in den nachfolgenden Punkten an.</w:t>
      </w:r>
    </w:p>
    <w:p>
      <w:pPr>
        <w:pStyle w:val="Heading2"/>
      </w:pPr>
      <w:r>
        <w:t>2 Änderung von Ziffer 2 (Arbeitszeit und Arbeitsort)</w:t>
      </w:r>
    </w:p>
    <w:p>
      <w:r>
        <w:rPr>
          <w:rFonts w:ascii="Times New Roman" w:hAnsi="Times New Roman"/>
          <w:b w:val="0"/>
          <w:i w:val="0"/>
          <w:sz w:val="22"/>
        </w:rPr>
        <w:t>2.1 Ziffer 2.1 wird wie folgt neu gefasst: Der Geschäftsführer bestimmt Zeit, Dauer und Ort seiner Tätigkeit im Ressort Entwicklung eigenverantwortlich. Eine Kernarbeitszeit oder Anwesenheitspflicht besteht für dieses Ressort nicht. Für die übrigen Aufgaben aus Ziffer 1.2 (regulatorische Zulassung, klinische Kooperationen) verbleibt es bei der Ausrichtung an den Erfordernissen der Gesellschaft und den Vorgaben des Beirats.</w:t>
      </w:r>
    </w:p>
    <w:p>
      <w:pPr>
        <w:pStyle w:val="Heading2"/>
      </w:pPr>
      <w:r>
        <w:t>3 Änderung von Ziffer 4 (Urlaub und Verhinderung)</w:t>
      </w:r>
    </w:p>
    <w:p>
      <w:r>
        <w:rPr>
          <w:rFonts w:ascii="Times New Roman" w:hAnsi="Times New Roman"/>
          <w:b w:val="0"/>
          <w:i w:val="0"/>
          <w:sz w:val="22"/>
        </w:rPr>
        <w:t>3.1 Ziffer 4.1 wird ergänzt: Für das Ressort Entwicklung ist eine Abstimmung der Urlaubslage mit dem Beiratsvorsitzenden nicht erforderlich; der Geschäftsführer zeigt Abwesenheiten von mehr als fünf Tagen lediglich zur Information an.</w:t>
      </w:r>
    </w:p>
    <w:p>
      <w:pPr>
        <w:pStyle w:val="Heading2"/>
      </w:pPr>
      <w:r>
        <w:t>4 Klarstellung zur Auslegung</w:t>
      </w:r>
    </w:p>
    <w:p>
      <w:r>
        <w:rPr>
          <w:rFonts w:ascii="Times New Roman" w:hAnsi="Times New Roman"/>
          <w:b w:val="0"/>
          <w:i w:val="0"/>
          <w:sz w:val="22"/>
        </w:rPr>
        <w:t>4.1 Die Parteien stellen klar, dass diese Änderungen ausschließlich das Ressort Entwicklung betreffen und die übrigen Regelungen des Anstellungsvertrags, insbesondere zu Vergütung, Zustimmungsvorbehalten nach Ziffer 5 und Kündigung nach Ziffer 7, unverändert fortgelten.</w:t>
      </w:r>
    </w:p>
    <w:p>
      <w:r>
        <w:rPr>
          <w:rFonts w:ascii="Times New Roman" w:hAnsi="Times New Roman"/>
          <w:b w:val="0"/>
          <w:i w:val="0"/>
          <w:sz w:val="22"/>
        </w:rPr>
        <w:t>4.2 Der Beiratsvorsitzende weist bei Unterzeichnung darauf hin, dass diese Anpassung dem Statusfeststellungsverfahren Rechnung tragen, jedoch keine rückwirkende Wirkung entfalten solle.</w:t>
      </w:r>
    </w:p>
    <w:p>
      <w:r>
        <w:rPr>
          <w:rFonts w:ascii="Times New Roman" w:hAnsi="Times New Roman"/>
          <w:b w:val="0"/>
          <w:i w:val="0"/>
          <w:sz w:val="22"/>
        </w:rPr>
        <w:t>Erlangen, den 25.09.2025 - Für die Gesellschaft: Prof. Dr. Cornelius Baumhauer, Beiratsvorsitzender - Der Geschäftsführer: Dr. Henrik Vogt</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