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Rettungsdienstprotokoll, Auszug</w:t>
      </w:r>
    </w:p>
    <w:p>
      <w:r>
        <w:rPr>
          <w:rFonts w:ascii="Times New Roman" w:hAnsi="Times New Roman"/>
          <w:b/>
          <w:i w:val="0"/>
          <w:sz w:val="22"/>
        </w:rPr>
        <w:t>Rettungsdienst Trier-Saarburg</w:t>
      </w:r>
    </w:p>
    <w:p>
      <w:r>
        <w:rPr>
          <w:rFonts w:ascii="Times New Roman" w:hAnsi="Times New Roman"/>
          <w:b w:val="0"/>
          <w:i w:val="0"/>
          <w:sz w:val="22"/>
        </w:rPr>
        <w:t>Einsatzprotokoll Nr. RD-2026-04-03-0142</w:t>
      </w:r>
    </w:p>
    <w:p/>
    <w:p>
      <w:pPr>
        <w:pStyle w:val="Heading2"/>
      </w:pPr>
      <w:r>
        <w:t>1. Einsatzdaten</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Feld</w:t>
            </w:r>
          </w:p>
        </w:tc>
        <w:tc>
          <w:tcPr>
            <w:tcW w:type="dxa" w:w="4320"/>
          </w:tcPr>
          <w:p>
            <w:r/>
            <w:r>
              <w:rPr>
                <w:rFonts w:ascii="Times New Roman" w:hAnsi="Times New Roman"/>
                <w:b/>
                <w:sz w:val="20"/>
              </w:rPr>
              <w:t>Angabe</w:t>
            </w:r>
          </w:p>
        </w:tc>
      </w:tr>
      <w:tr>
        <w:tc>
          <w:tcPr>
            <w:tcW w:type="dxa" w:w="4320"/>
          </w:tcPr>
          <w:p>
            <w:r/>
            <w:r>
              <w:rPr>
                <w:rFonts w:ascii="Times New Roman" w:hAnsi="Times New Roman"/>
                <w:sz w:val="20"/>
              </w:rPr>
              <w:t>Alarmierung</w:t>
            </w:r>
          </w:p>
        </w:tc>
        <w:tc>
          <w:tcPr>
            <w:tcW w:type="dxa" w:w="4320"/>
          </w:tcPr>
          <w:p>
            <w:r/>
            <w:r>
              <w:rPr>
                <w:rFonts w:ascii="Times New Roman" w:hAnsi="Times New Roman"/>
                <w:sz w:val="20"/>
              </w:rPr>
              <w:t>03.04.2026, 6:47 Uhr</w:t>
            </w:r>
          </w:p>
        </w:tc>
      </w:tr>
      <w:tr>
        <w:tc>
          <w:tcPr>
            <w:tcW w:type="dxa" w:w="4320"/>
          </w:tcPr>
          <w:p>
            <w:r/>
            <w:r>
              <w:rPr>
                <w:rFonts w:ascii="Times New Roman" w:hAnsi="Times New Roman"/>
                <w:sz w:val="20"/>
              </w:rPr>
              <w:t>Eintreffen am Einsatzort</w:t>
            </w:r>
          </w:p>
        </w:tc>
        <w:tc>
          <w:tcPr>
            <w:tcW w:type="dxa" w:w="4320"/>
          </w:tcPr>
          <w:p>
            <w:r/>
            <w:r>
              <w:rPr>
                <w:rFonts w:ascii="Times New Roman" w:hAnsi="Times New Roman"/>
                <w:sz w:val="20"/>
              </w:rPr>
              <w:t>03.04.2026, 6:58 Uhr</w:t>
            </w:r>
          </w:p>
        </w:tc>
      </w:tr>
      <w:tr>
        <w:tc>
          <w:tcPr>
            <w:tcW w:type="dxa" w:w="4320"/>
          </w:tcPr>
          <w:p>
            <w:r/>
            <w:r>
              <w:rPr>
                <w:rFonts w:ascii="Times New Roman" w:hAnsi="Times New Roman"/>
                <w:sz w:val="20"/>
              </w:rPr>
              <w:t>Einsatzort</w:t>
            </w:r>
          </w:p>
        </w:tc>
        <w:tc>
          <w:tcPr>
            <w:tcW w:type="dxa" w:w="4320"/>
          </w:tcPr>
          <w:p>
            <w:r/>
            <w:r>
              <w:rPr>
                <w:rFonts w:ascii="Times New Roman" w:hAnsi="Times New Roman"/>
                <w:sz w:val="20"/>
              </w:rPr>
              <w:t>MoselLogistik GmbH, Hafenstraße 28, Rampe 4</w:t>
            </w:r>
          </w:p>
        </w:tc>
      </w:tr>
      <w:tr>
        <w:tc>
          <w:tcPr>
            <w:tcW w:type="dxa" w:w="4320"/>
          </w:tcPr>
          <w:p>
            <w:r/>
            <w:r>
              <w:rPr>
                <w:rFonts w:ascii="Times New Roman" w:hAnsi="Times New Roman"/>
                <w:sz w:val="20"/>
              </w:rPr>
              <w:t>Übergabe Krankenhaus</w:t>
            </w:r>
          </w:p>
        </w:tc>
        <w:tc>
          <w:tcPr>
            <w:tcW w:type="dxa" w:w="4320"/>
          </w:tcPr>
          <w:p>
            <w:r/>
            <w:r>
              <w:rPr>
                <w:rFonts w:ascii="Times New Roman" w:hAnsi="Times New Roman"/>
                <w:sz w:val="20"/>
              </w:rPr>
              <w:t>03.04.2026, 7:34 Uhr, Brüderkrankenhaus Trier</w:t>
            </w:r>
          </w:p>
        </w:tc>
      </w:tr>
    </w:tbl>
    <w:p/>
    <w:p>
      <w:pPr>
        <w:pStyle w:val="Heading2"/>
      </w:pPr>
      <w:r>
        <w:t>2. Erstbefund des Rettungsdienstes</w:t>
      </w:r>
    </w:p>
    <w:p>
      <w:r>
        <w:rPr>
          <w:rFonts w:ascii="Times New Roman" w:hAnsi="Times New Roman"/>
          <w:b w:val="0"/>
          <w:i w:val="0"/>
          <w:sz w:val="22"/>
        </w:rPr>
        <w:t>Patient ansprechbar, orientiert zu Person, Ort und Zeit. Glasgow Coma Scale 15. Angabe starker Schmerzen in der rechten Schulter mit deutlich eingeschränkter Beweglichkeit. Kleine Schürfwunde rechter Ellenbogen, gerötete druckschmerzhafte Stelle am Hinterkopf ohne neurologische Ausfälle.</w:t>
      </w:r>
    </w:p>
    <w:p>
      <w:pPr>
        <w:pStyle w:val="Heading2"/>
      </w:pPr>
      <w:r>
        <w:t>3. Vitalparameter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Zeit</w:t>
            </w:r>
          </w:p>
        </w:tc>
        <w:tc>
          <w:tcPr>
            <w:tcW w:type="dxa" w:w="2160"/>
          </w:tcPr>
          <w:p>
            <w:r/>
            <w:r>
              <w:rPr>
                <w:rFonts w:ascii="Times New Roman" w:hAnsi="Times New Roman"/>
                <w:b/>
                <w:sz w:val="20"/>
              </w:rPr>
              <w:t>Puls</w:t>
            </w:r>
          </w:p>
        </w:tc>
        <w:tc>
          <w:tcPr>
            <w:tcW w:type="dxa" w:w="2160"/>
          </w:tcPr>
          <w:p>
            <w:r/>
            <w:r>
              <w:rPr>
                <w:rFonts w:ascii="Times New Roman" w:hAnsi="Times New Roman"/>
                <w:b/>
                <w:sz w:val="20"/>
              </w:rPr>
              <w:t>Blutdruck</w:t>
            </w:r>
          </w:p>
        </w:tc>
        <w:tc>
          <w:tcPr>
            <w:tcW w:type="dxa" w:w="2160"/>
          </w:tcPr>
          <w:p>
            <w:r/>
            <w:r>
              <w:rPr>
                <w:rFonts w:ascii="Times New Roman" w:hAnsi="Times New Roman"/>
                <w:b/>
                <w:sz w:val="20"/>
              </w:rPr>
              <w:t>SpO2</w:t>
            </w:r>
          </w:p>
        </w:tc>
      </w:tr>
      <w:tr>
        <w:tc>
          <w:tcPr>
            <w:tcW w:type="dxa" w:w="2160"/>
          </w:tcPr>
          <w:p>
            <w:r/>
            <w:r>
              <w:rPr>
                <w:rFonts w:ascii="Times New Roman" w:hAnsi="Times New Roman"/>
                <w:sz w:val="20"/>
              </w:rPr>
              <w:t>7:00 Uhr</w:t>
            </w:r>
          </w:p>
        </w:tc>
        <w:tc>
          <w:tcPr>
            <w:tcW w:type="dxa" w:w="2160"/>
          </w:tcPr>
          <w:p>
            <w:r/>
            <w:r>
              <w:rPr>
                <w:rFonts w:ascii="Times New Roman" w:hAnsi="Times New Roman"/>
                <w:sz w:val="20"/>
              </w:rPr>
              <w:t>92</w:t>
            </w:r>
          </w:p>
        </w:tc>
        <w:tc>
          <w:tcPr>
            <w:tcW w:type="dxa" w:w="2160"/>
          </w:tcPr>
          <w:p>
            <w:r/>
            <w:r>
              <w:rPr>
                <w:rFonts w:ascii="Times New Roman" w:hAnsi="Times New Roman"/>
                <w:sz w:val="20"/>
              </w:rPr>
              <w:t>138/86</w:t>
            </w:r>
          </w:p>
        </w:tc>
        <w:tc>
          <w:tcPr>
            <w:tcW w:type="dxa" w:w="2160"/>
          </w:tcPr>
          <w:p>
            <w:r/>
            <w:r>
              <w:rPr>
                <w:rFonts w:ascii="Times New Roman" w:hAnsi="Times New Roman"/>
                <w:sz w:val="20"/>
              </w:rPr>
              <w:t>97 Prozent</w:t>
            </w:r>
          </w:p>
        </w:tc>
      </w:tr>
      <w:tr>
        <w:tc>
          <w:tcPr>
            <w:tcW w:type="dxa" w:w="2160"/>
          </w:tcPr>
          <w:p>
            <w:r/>
            <w:r>
              <w:rPr>
                <w:rFonts w:ascii="Times New Roman" w:hAnsi="Times New Roman"/>
                <w:sz w:val="20"/>
              </w:rPr>
              <w:t>7:15 Uhr</w:t>
            </w:r>
          </w:p>
        </w:tc>
        <w:tc>
          <w:tcPr>
            <w:tcW w:type="dxa" w:w="2160"/>
          </w:tcPr>
          <w:p>
            <w:r/>
            <w:r>
              <w:rPr>
                <w:rFonts w:ascii="Times New Roman" w:hAnsi="Times New Roman"/>
                <w:sz w:val="20"/>
              </w:rPr>
              <w:t>88</w:t>
            </w:r>
          </w:p>
        </w:tc>
        <w:tc>
          <w:tcPr>
            <w:tcW w:type="dxa" w:w="2160"/>
          </w:tcPr>
          <w:p>
            <w:r/>
            <w:r>
              <w:rPr>
                <w:rFonts w:ascii="Times New Roman" w:hAnsi="Times New Roman"/>
                <w:sz w:val="20"/>
              </w:rPr>
              <w:t>134/82</w:t>
            </w:r>
          </w:p>
        </w:tc>
        <w:tc>
          <w:tcPr>
            <w:tcW w:type="dxa" w:w="2160"/>
          </w:tcPr>
          <w:p>
            <w:r/>
            <w:r>
              <w:rPr>
                <w:rFonts w:ascii="Times New Roman" w:hAnsi="Times New Roman"/>
                <w:sz w:val="20"/>
              </w:rPr>
              <w:t>98 Prozent</w:t>
            </w:r>
          </w:p>
        </w:tc>
      </w:tr>
      <w:tr>
        <w:tc>
          <w:tcPr>
            <w:tcW w:type="dxa" w:w="2160"/>
          </w:tcPr>
          <w:p>
            <w:r/>
            <w:r>
              <w:rPr>
                <w:rFonts w:ascii="Times New Roman" w:hAnsi="Times New Roman"/>
                <w:sz w:val="20"/>
              </w:rPr>
              <w:t>7:30 Uhr</w:t>
            </w:r>
          </w:p>
        </w:tc>
        <w:tc>
          <w:tcPr>
            <w:tcW w:type="dxa" w:w="2160"/>
          </w:tcPr>
          <w:p>
            <w:r/>
            <w:r>
              <w:rPr>
                <w:rFonts w:ascii="Times New Roman" w:hAnsi="Times New Roman"/>
                <w:sz w:val="20"/>
              </w:rPr>
              <w:t>86</w:t>
            </w:r>
          </w:p>
        </w:tc>
        <w:tc>
          <w:tcPr>
            <w:tcW w:type="dxa" w:w="2160"/>
          </w:tcPr>
          <w:p>
            <w:r/>
            <w:r>
              <w:rPr>
                <w:rFonts w:ascii="Times New Roman" w:hAnsi="Times New Roman"/>
                <w:sz w:val="20"/>
              </w:rPr>
              <w:t>132/80</w:t>
            </w:r>
          </w:p>
        </w:tc>
        <w:tc>
          <w:tcPr>
            <w:tcW w:type="dxa" w:w="2160"/>
          </w:tcPr>
          <w:p>
            <w:r/>
            <w:r>
              <w:rPr>
                <w:rFonts w:ascii="Times New Roman" w:hAnsi="Times New Roman"/>
                <w:sz w:val="20"/>
              </w:rPr>
              <w:t>98 Prozent</w:t>
            </w:r>
          </w:p>
        </w:tc>
      </w:tr>
    </w:tbl>
    <w:p/>
    <w:p>
      <w:pPr>
        <w:pStyle w:val="Heading2"/>
      </w:pPr>
      <w:r>
        <w:t>4. Maßnahmen</w:t>
      </w:r>
    </w:p>
    <w:p>
      <w:r>
        <w:rPr>
          <w:rFonts w:ascii="Times New Roman" w:hAnsi="Times New Roman"/>
          <w:b w:val="0"/>
          <w:i w:val="0"/>
          <w:sz w:val="22"/>
        </w:rPr>
        <w:t>Anlage eines venösen Zugangs, Schmerzmedikation nach Rücksprache mit dem Notarzt, Ruhigstellung des rechten Arms mit Armschlinge, Immobilisation der Halswirbelsäule mit Stiffneck aus Vorsicht wegen Kopfanprall, liegender Transport in die Notaufnahme.</w:t>
      </w:r>
    </w:p>
    <w:p>
      <w:pPr>
        <w:pStyle w:val="Heading2"/>
      </w:pPr>
      <w:r>
        <w:t>5. Fremdanamnese laut Protokoll</w:t>
      </w:r>
    </w:p>
    <w:p>
      <w:r>
        <w:rPr>
          <w:rFonts w:ascii="Times New Roman" w:hAnsi="Times New Roman"/>
          <w:b w:val="0"/>
          <w:i w:val="0"/>
          <w:sz w:val="22"/>
        </w:rPr>
        <w:t>Betriebliche Ersthelferin gibt an, der Patient sei beim Lösen einer klemmenden Laderampe gestürzt. Patient selbst bestätigt gegenüber dem Rettungsdienst: 'Die Überladebrücke hat nachgegeben, ich bin nach vorne gefallen.'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