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Röntgenbefunde im Verlauf, mit radiologischer Bewertung</w:t>
      </w:r>
    </w:p>
    <w:p>
      <w:r>
        <w:rPr>
          <w:rFonts w:ascii="Times New Roman" w:hAnsi="Times New Roman"/>
          <w:b/>
          <w:i w:val="0"/>
          <w:sz w:val="22"/>
        </w:rPr>
        <w:t>Radiologische Praxis am Domfreihof</w:t>
      </w:r>
    </w:p>
    <w:p>
      <w:r>
        <w:rPr>
          <w:rFonts w:ascii="Times New Roman" w:hAnsi="Times New Roman"/>
          <w:b w:val="0"/>
          <w:i w:val="0"/>
          <w:sz w:val="22"/>
        </w:rPr>
        <w:t>Dr. Simone Hage, Fachärztin für Radiologie</w:t>
      </w:r>
    </w:p>
    <w:p>
      <w:r>
        <w:rPr>
          <w:rFonts w:ascii="Times New Roman" w:hAnsi="Times New Roman"/>
          <w:b w:val="0"/>
          <w:i w:val="0"/>
          <w:sz w:val="22"/>
        </w:rPr>
        <w:t>Domfreihof 9, 54290 Trier</w:t>
      </w:r>
    </w:p>
    <w:p/>
    <w:p>
      <w:pPr>
        <w:pStyle w:val="Heading2"/>
      </w:pPr>
      <w:r>
        <w:t>1. Röntgen Schulter rechts, 03.04.2026</w:t>
      </w:r>
    </w:p>
    <w:p>
      <w:r>
        <w:rPr>
          <w:rFonts w:ascii="Times New Roman" w:hAnsi="Times New Roman"/>
          <w:b w:val="0"/>
          <w:i w:val="0"/>
          <w:sz w:val="22"/>
        </w:rPr>
        <w:t>Zwei Ebenen, angefertigt im Brüderkrankenhaus Trier am Aufnahmetag. Kein Frakturnachweis, keine Luxation. Acromioclaviculargelenk mit geringer Arthrose, Humeruskopf regelrecht positioniert. Beurteilung: keine knöcherne Verletzung, Weichteilbefund radiologisch nicht sicher beurteilbar.</w:t>
      </w:r>
    </w:p>
    <w:p>
      <w:pPr>
        <w:pStyle w:val="Heading2"/>
      </w:pPr>
      <w:r>
        <w:t>2. Kontrollröntgen, 12.05.2026</w:t>
      </w:r>
    </w:p>
    <w:p>
      <w:r>
        <w:rPr>
          <w:rFonts w:ascii="Times New Roman" w:hAnsi="Times New Roman"/>
          <w:b w:val="0"/>
          <w:i w:val="0"/>
          <w:sz w:val="22"/>
        </w:rPr>
        <w:t>Drei Wochen postoperativ. Fadenanker regelrecht lagegetreu, keine sekundäre Dislokation, Acromioplastik-Areal reizlos. Beurteilung: postoperativer Verlauf ohne Auffälligkeiten.</w:t>
      </w:r>
    </w:p>
    <w:p>
      <w:pPr>
        <w:pStyle w:val="Heading2"/>
      </w:pPr>
      <w:r>
        <w:t>3. Vergleich mit Voraufnahmen</w:t>
      </w:r>
    </w:p>
    <w:p>
      <w:r>
        <w:rPr>
          <w:rFonts w:ascii="Times New Roman" w:hAnsi="Times New Roman"/>
          <w:b w:val="0"/>
          <w:i w:val="0"/>
          <w:sz w:val="22"/>
        </w:rPr>
        <w:t>Ältere Röntgenaufnahmen der Schulter liegen nicht vor, da 2016 bis 2018 keine Bildgebung erfolgte. Dr. Hage weist ausdrücklich darauf hin, dass ein bildgebender Vorbefund zum direkten Vergleich fehlt und die Bewertung des Vorschadens daher auf der MRT-Morphologie und der Anamnese beruhen muss.</w:t>
      </w:r>
    </w:p>
    <w:p>
      <w:pPr>
        <w:pStyle w:val="Heading2"/>
      </w:pPr>
      <w:r>
        <w:t>4. Zusammenfassende radiologische Einschätzung</w:t>
      </w:r>
    </w:p>
    <w:p>
      <w:r>
        <w:rPr>
          <w:rFonts w:ascii="Times New Roman" w:hAnsi="Times New Roman"/>
          <w:b w:val="0"/>
          <w:i w:val="0"/>
          <w:sz w:val="22"/>
        </w:rPr>
        <w:t>Nach Aktenlage und Bildbefund hält Dr. Hage eine ausschließlich degenerative Erklärung für nicht zwingend, da das im MRT nachgewiesene Knochenmarködem am Tuberculum majus typischerweise Ausdruck einer akuten knöchernen Belastungsreaktion und kein Zeichen einer chronisch-degenerativen Veränderung ist.</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