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Detaillierter Durchgangsarztbericht mit Nachbehandlungsverlauf</w:t>
      </w:r>
    </w:p>
    <w:p>
      <w:r>
        <w:rPr>
          <w:rFonts w:ascii="Times New Roman" w:hAnsi="Times New Roman"/>
          <w:b/>
          <w:i w:val="0"/>
          <w:sz w:val="22"/>
        </w:rPr>
        <w:t>Brüderkrankenhaus Trier</w:t>
      </w:r>
    </w:p>
    <w:p>
      <w:r>
        <w:rPr>
          <w:rFonts w:ascii="Times New Roman" w:hAnsi="Times New Roman"/>
          <w:b w:val="0"/>
          <w:i w:val="0"/>
          <w:sz w:val="22"/>
        </w:rPr>
        <w:t>Durchgangsarztpraxis Dr. Reiner Kauth</w:t>
      </w:r>
    </w:p>
    <w:p>
      <w:r>
        <w:rPr>
          <w:rFonts w:ascii="Times New Roman" w:hAnsi="Times New Roman"/>
          <w:b w:val="0"/>
          <w:i w:val="0"/>
          <w:sz w:val="22"/>
        </w:rPr>
        <w:t>Nordallee 1, 54292 Trier</w:t>
      </w:r>
    </w:p>
    <w:p/>
    <w:p>
      <w:pPr>
        <w:pStyle w:val="Heading2"/>
      </w:pPr>
      <w:r>
        <w:t>1. Erstvorstellung</w:t>
      </w:r>
    </w:p>
    <w:p>
      <w:r>
        <w:rPr>
          <w:rFonts w:ascii="Times New Roman" w:hAnsi="Times New Roman"/>
          <w:b w:val="0"/>
          <w:i w:val="0"/>
          <w:sz w:val="22"/>
        </w:rPr>
        <w:t>Erstvorstellung am 03.04.2026 um 8:15 Uhr nach Verlegung aus der Notaufnahme. Diagnosen: Schulterprellung rechts mit Verdacht auf Rotatorenmanschettenruptur, Schädelprellung ohne Bewusstlosigkeit, Schürfwunden rechter Ellenbogen. Arbeitsunfähigkeit ab 03.04.2026.</w:t>
      </w:r>
    </w:p>
    <w:p>
      <w:pPr>
        <w:pStyle w:val="Heading2"/>
      </w:pPr>
      <w:r>
        <w:t>2. Verlaufskontrollen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b/>
                <w:sz w:val="20"/>
              </w:rPr>
              <w:t>Datum</w:t>
            </w:r>
          </w:p>
        </w:tc>
        <w:tc>
          <w:tcPr>
            <w:tcW w:type="dxa" w:w="2880"/>
          </w:tcPr>
          <w:p>
            <w:r/>
            <w:r>
              <w:rPr>
                <w:rFonts w:ascii="Times New Roman" w:hAnsi="Times New Roman"/>
                <w:b/>
                <w:sz w:val="20"/>
              </w:rPr>
              <w:t>Befund</w:t>
            </w:r>
          </w:p>
        </w:tc>
        <w:tc>
          <w:tcPr>
            <w:tcW w:type="dxa" w:w="2880"/>
          </w:tcPr>
          <w:p>
            <w:r/>
            <w:r>
              <w:rPr>
                <w:rFonts w:ascii="Times New Roman" w:hAnsi="Times New Roman"/>
                <w:b/>
                <w:sz w:val="20"/>
              </w:rPr>
              <w:t>Maßnahme</w:t>
            </w:r>
          </w:p>
        </w:tc>
      </w:tr>
      <w:tr>
        <w:tc>
          <w:tcPr>
            <w:tcW w:type="dxa" w:w="2880"/>
          </w:tcPr>
          <w:p>
            <w:r/>
            <w:r>
              <w:rPr>
                <w:rFonts w:ascii="Times New Roman" w:hAnsi="Times New Roman"/>
                <w:sz w:val="20"/>
              </w:rPr>
              <w:t>10.04.2026</w:t>
            </w:r>
          </w:p>
        </w:tc>
        <w:tc>
          <w:tcPr>
            <w:tcW w:type="dxa" w:w="2880"/>
          </w:tcPr>
          <w:p>
            <w:r/>
            <w:r>
              <w:rPr>
                <w:rFonts w:ascii="Times New Roman" w:hAnsi="Times New Roman"/>
                <w:sz w:val="20"/>
              </w:rPr>
              <w:t>MRT bestätigt Teilruptur Supraspinatussehne</w:t>
            </w:r>
          </w:p>
        </w:tc>
        <w:tc>
          <w:tcPr>
            <w:tcW w:type="dxa" w:w="2880"/>
          </w:tcPr>
          <w:p>
            <w:r/>
            <w:r>
              <w:rPr>
                <w:rFonts w:ascii="Times New Roman" w:hAnsi="Times New Roman"/>
                <w:sz w:val="20"/>
              </w:rPr>
              <w:t>Operationsindikation gestellt</w:t>
            </w:r>
          </w:p>
        </w:tc>
      </w:tr>
      <w:tr>
        <w:tc>
          <w:tcPr>
            <w:tcW w:type="dxa" w:w="2880"/>
          </w:tcPr>
          <w:p>
            <w:r/>
            <w:r>
              <w:rPr>
                <w:rFonts w:ascii="Times New Roman" w:hAnsi="Times New Roman"/>
                <w:sz w:val="20"/>
              </w:rPr>
              <w:t>16.04.2026</w:t>
            </w:r>
          </w:p>
        </w:tc>
        <w:tc>
          <w:tcPr>
            <w:tcW w:type="dxa" w:w="2880"/>
          </w:tcPr>
          <w:p>
            <w:r/>
            <w:r>
              <w:rPr>
                <w:rFonts w:ascii="Times New Roman" w:hAnsi="Times New Roman"/>
                <w:sz w:val="20"/>
              </w:rPr>
              <w:t>Aufklärung, präoperative Diagnostik</w:t>
            </w:r>
          </w:p>
        </w:tc>
        <w:tc>
          <w:tcPr>
            <w:tcW w:type="dxa" w:w="2880"/>
          </w:tcPr>
          <w:p>
            <w:r/>
            <w:r>
              <w:rPr>
                <w:rFonts w:ascii="Times New Roman" w:hAnsi="Times New Roman"/>
                <w:sz w:val="20"/>
              </w:rPr>
              <w:t>OP-Termin 21.04.2026 vereinbart</w:t>
            </w:r>
          </w:p>
        </w:tc>
      </w:tr>
      <w:tr>
        <w:tc>
          <w:tcPr>
            <w:tcW w:type="dxa" w:w="2880"/>
          </w:tcPr>
          <w:p>
            <w:r/>
            <w:r>
              <w:rPr>
                <w:rFonts w:ascii="Times New Roman" w:hAnsi="Times New Roman"/>
                <w:sz w:val="20"/>
              </w:rPr>
              <w:t>05.05.2026</w:t>
            </w:r>
          </w:p>
        </w:tc>
        <w:tc>
          <w:tcPr>
            <w:tcW w:type="dxa" w:w="2880"/>
          </w:tcPr>
          <w:p>
            <w:r/>
            <w:r>
              <w:rPr>
                <w:rFonts w:ascii="Times New Roman" w:hAnsi="Times New Roman"/>
                <w:sz w:val="20"/>
              </w:rPr>
              <w:t>Zwei Wochen postoperativ, reizlose Wundverhältnisse</w:t>
            </w:r>
          </w:p>
        </w:tc>
        <w:tc>
          <w:tcPr>
            <w:tcW w:type="dxa" w:w="2880"/>
          </w:tcPr>
          <w:p>
            <w:r/>
            <w:r>
              <w:rPr>
                <w:rFonts w:ascii="Times New Roman" w:hAnsi="Times New Roman"/>
                <w:sz w:val="20"/>
              </w:rPr>
              <w:t>Physiotherapie fortgesetzt</w:t>
            </w:r>
          </w:p>
        </w:tc>
      </w:tr>
      <w:tr>
        <w:tc>
          <w:tcPr>
            <w:tcW w:type="dxa" w:w="2880"/>
          </w:tcPr>
          <w:p>
            <w:r/>
            <w:r>
              <w:rPr>
                <w:rFonts w:ascii="Times New Roman" w:hAnsi="Times New Roman"/>
                <w:sz w:val="20"/>
              </w:rPr>
              <w:t>02.06.2026</w:t>
            </w:r>
          </w:p>
        </w:tc>
        <w:tc>
          <w:tcPr>
            <w:tcW w:type="dxa" w:w="2880"/>
          </w:tcPr>
          <w:p>
            <w:r/>
            <w:r>
              <w:rPr>
                <w:rFonts w:ascii="Times New Roman" w:hAnsi="Times New Roman"/>
                <w:sz w:val="20"/>
              </w:rPr>
              <w:t>Beginn stationäre Anschlussheilbehandlung</w:t>
            </w:r>
          </w:p>
        </w:tc>
        <w:tc>
          <w:tcPr>
            <w:tcW w:type="dxa" w:w="2880"/>
          </w:tcPr>
          <w:p>
            <w:r/>
            <w:r>
              <w:rPr>
                <w:rFonts w:ascii="Times New Roman" w:hAnsi="Times New Roman"/>
                <w:sz w:val="20"/>
              </w:rPr>
              <w:t>Überweisung BG Klinik Ludwigshafen</w:t>
            </w:r>
          </w:p>
        </w:tc>
      </w:tr>
      <w:tr>
        <w:tc>
          <w:tcPr>
            <w:tcW w:type="dxa" w:w="2880"/>
          </w:tcPr>
          <w:p>
            <w:r/>
            <w:r>
              <w:rPr>
                <w:rFonts w:ascii="Times New Roman" w:hAnsi="Times New Roman"/>
                <w:sz w:val="20"/>
              </w:rPr>
              <w:t>30.06.2026</w:t>
            </w:r>
          </w:p>
        </w:tc>
        <w:tc>
          <w:tcPr>
            <w:tcW w:type="dxa" w:w="2880"/>
          </w:tcPr>
          <w:p>
            <w:r/>
            <w:r>
              <w:rPr>
                <w:rFonts w:ascii="Times New Roman" w:hAnsi="Times New Roman"/>
                <w:sz w:val="20"/>
              </w:rPr>
              <w:t>Nach Reha, Kraftdefizit rückläufig, Abduktion 110 Grad</w:t>
            </w:r>
          </w:p>
        </w:tc>
        <w:tc>
          <w:tcPr>
            <w:tcW w:type="dxa" w:w="2880"/>
          </w:tcPr>
          <w:p>
            <w:r/>
            <w:r>
              <w:rPr>
                <w:rFonts w:ascii="Times New Roman" w:hAnsi="Times New Roman"/>
                <w:sz w:val="20"/>
              </w:rPr>
              <w:t>Stufenweise Wiedereingliederung geplant</w:t>
            </w:r>
          </w:p>
        </w:tc>
      </w:tr>
    </w:tbl>
    <w:p/>
    <w:p>
      <w:pPr>
        <w:pStyle w:val="Heading2"/>
      </w:pPr>
      <w:r>
        <w:t>3. Zusammenhangsbeurteilung des Durchgangsarztes</w:t>
      </w:r>
    </w:p>
    <w:p>
      <w:r>
        <w:rPr>
          <w:rFonts w:ascii="Times New Roman" w:hAnsi="Times New Roman"/>
          <w:b w:val="0"/>
          <w:i w:val="0"/>
          <w:sz w:val="22"/>
        </w:rPr>
        <w:t>Dr. Kauth hält in seinem Zwischenbericht vom 30.06.2026 fest, dass der geschilderte Unfallmechanismus, der intraoperative Befund eines frischen Rupturrandes sowie der zeitliche Zusammenhang zwischen Ereignis und Erstschmerz für eine wesentliche Teilursache des Unfalls sprechen. Der Vorschaden werde dadurch nicht bestritten, trete aber nach seiner fachärztlichen Einschätzung in der Gesamtwürdigung in den Hintergrund.</w:t>
      </w:r>
    </w:p>
    <w:p>
      <w:pPr>
        <w:pStyle w:val="Heading2"/>
      </w:pPr>
      <w:r>
        <w:t>4. Arbeitsfähigkeitsprognose</w:t>
      </w:r>
    </w:p>
    <w:p>
      <w:r>
        <w:rPr>
          <w:rFonts w:ascii="Times New Roman" w:hAnsi="Times New Roman"/>
          <w:b w:val="0"/>
          <w:i w:val="0"/>
          <w:sz w:val="22"/>
        </w:rPr>
        <w:t>Bei planmäßigigem Verlauf wird eine Wiederaufnahme leichter Bürotätigkeiten ab August 2026 für möglich gehalten, eine vollständige Rückkehr zur ursprünglichen körperlich schweren Lagerleitertätigkeit ist nach jetzigem Stand ungewiss und hängt vom Ergebnis der Anschlussuntersuchung im September 2026 ab.</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