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Widerspruch gegen den Ablehnungsbescheid, Vollversion</w:t>
      </w:r>
    </w:p>
    <w:p>
      <w:r>
        <w:rPr>
          <w:rFonts w:ascii="Times New Roman" w:hAnsi="Times New Roman"/>
          <w:b/>
          <w:i w:val="0"/>
          <w:sz w:val="22"/>
        </w:rPr>
        <w:t>Kanzlei Lindenhof und Partner mbB</w:t>
      </w:r>
    </w:p>
    <w:p>
      <w:r>
        <w:rPr>
          <w:rFonts w:ascii="Times New Roman" w:hAnsi="Times New Roman"/>
          <w:b w:val="0"/>
          <w:i w:val="0"/>
          <w:sz w:val="22"/>
        </w:rPr>
        <w:t>Fachanwälte für Sozialrecht</w:t>
      </w:r>
    </w:p>
    <w:p>
      <w:r>
        <w:rPr>
          <w:rFonts w:ascii="Times New Roman" w:hAnsi="Times New Roman"/>
          <w:b w:val="0"/>
          <w:i w:val="0"/>
          <w:sz w:val="22"/>
        </w:rPr>
        <w:t>Domfreihof 6, 54290 Trier</w:t>
      </w:r>
    </w:p>
    <w:p>
      <w:r>
        <w:rPr>
          <w:rFonts w:ascii="Times New Roman" w:hAnsi="Times New Roman"/>
          <w:b w:val="0"/>
          <w:i w:val="0"/>
          <w:sz w:val="22"/>
        </w:rPr>
        <w:t>Bearbeiterin: Dr. Nadine Ohlerich</w:t>
      </w:r>
    </w:p>
    <w:p/>
    <w:p>
      <w:r>
        <w:rPr>
          <w:rFonts w:ascii="Times New Roman" w:hAnsi="Times New Roman"/>
          <w:b w:val="0"/>
          <w:i w:val="0"/>
          <w:sz w:val="22"/>
        </w:rPr>
        <w:t>An die Berufsgenossenschaft Handel und Warenlogistik, Bezirksverwaltung Trier, Aktenzeichen BGHW-2026-350118-MÖLLER, per beA am 20.07.2026 übermittelt.</w:t>
      </w:r>
    </w:p>
    <w:p>
      <w:pPr>
        <w:pStyle w:val="Heading2"/>
      </w:pPr>
      <w:r>
        <w:t>1. Antrag</w:t>
      </w:r>
    </w:p>
    <w:p>
      <w:r>
        <w:rPr>
          <w:rFonts w:ascii="Times New Roman" w:hAnsi="Times New Roman"/>
          <w:b w:val="0"/>
          <w:i w:val="0"/>
          <w:sz w:val="22"/>
        </w:rPr>
        <w:t>Namens und im Auftrag des Herrn Karsten Möller wird gegen den Bescheid vom 18.06.2026, zugegangen am 22.06.2026, form- und fristgerecht Widerspruch eingelegt. Beantragt wird, den Bescheid aufzuheben und das Ereignis vom 03.04.2026 als Arbeitsunfall im Sinne von Paragraf 8 SGB VII anzuerkennen sowie die gesetzlich geschuldeten Leistungen, insbesondere Heilbehandlung und Verletztengeld, zu gewähren.</w:t>
      </w:r>
    </w:p>
    <w:p>
      <w:pPr>
        <w:pStyle w:val="Heading2"/>
      </w:pPr>
      <w:r>
        <w:t>2. Sachverhalt aus Sicht des Widerspruchsführers</w:t>
      </w:r>
    </w:p>
    <w:p>
      <w:r>
        <w:rPr>
          <w:rFonts w:ascii="Times New Roman" w:hAnsi="Times New Roman"/>
          <w:b w:val="0"/>
          <w:i w:val="0"/>
          <w:sz w:val="22"/>
        </w:rPr>
        <w:t>Herr Möller übte bei dem Ereignis eine versicherte Tätigkeit aus, indem er eine betrieblich benötigte, klemmende Überladebrücke an Rampe 4 zu sichern versuchte, um den Wareneingang eines wartenden Lastzugs zu ermöglichen. Der Sturz erfolgte zeitlich begrenzt und wirkte von außen auf den Körper ein.</w:t>
      </w:r>
    </w:p>
    <w:p>
      <w:pPr>
        <w:pStyle w:val="Heading2"/>
      </w:pPr>
      <w:r>
        <w:t>3. Beweiswürdigung</w:t>
      </w:r>
    </w:p>
    <w:p>
      <w:pPr>
        <w:pStyle w:val="Heading3"/>
      </w:pPr>
      <w:r>
        <w:t>3.1 Zeugenangaben</w:t>
      </w:r>
    </w:p>
    <w:p>
      <w:r>
        <w:rPr>
          <w:rFonts w:ascii="Times New Roman" w:hAnsi="Times New Roman"/>
          <w:b w:val="0"/>
          <w:i w:val="0"/>
          <w:sz w:val="22"/>
        </w:rPr>
        <w:t>Die Zeugen Bastian Kopp und Sandra Lehnert bestätigen unabhängig voneinander, dass Herr Möller sich unmittelbar nach dem Sturz zum technischen Versagen der Rampe geäußert hat und dass die Rampe im relevanten Zeitraum wiederholt schwergängig war.</w:t>
      </w:r>
    </w:p>
    <w:p>
      <w:pPr>
        <w:pStyle w:val="Heading3"/>
      </w:pPr>
      <w:r>
        <w:t>3.2 Wartungsbuch und technischer Zustand</w:t>
      </w:r>
    </w:p>
    <w:p>
      <w:r>
        <w:rPr>
          <w:rFonts w:ascii="Times New Roman" w:hAnsi="Times New Roman"/>
          <w:b w:val="0"/>
          <w:i w:val="0"/>
          <w:sz w:val="22"/>
        </w:rPr>
        <w:t>Nach dem Wartungsbuch wurde die Brücke im März 2026 mindestens dreimal als schwergängig vermerkt, ein Reparaturtermin war für den 8. April 2026 bereits vereinbart. Diese Dokumentation stützt die Darstellung eines technischen Defekts als Auslöser des Sturzes.</w:t>
      </w:r>
    </w:p>
    <w:p>
      <w:pPr>
        <w:pStyle w:val="Heading3"/>
      </w:pPr>
      <w:r>
        <w:t>3.3 Kameraausfall</w:t>
      </w:r>
    </w:p>
    <w:p>
      <w:r>
        <w:rPr>
          <w:rFonts w:ascii="Times New Roman" w:hAnsi="Times New Roman"/>
          <w:b w:val="0"/>
          <w:i w:val="0"/>
          <w:sz w:val="22"/>
        </w:rPr>
        <w:t>Der zeitlich mit dem Unfallereignis zusammenfallende Ausfall der Kamera an Rampe 4 spricht nicht gegen, sondern ist neutral zu werten; er darf nicht zu Lasten des Versicherten gewürdigt werden, da der Ausfall unstreitig technische, nicht in der Sphäre des Mandanten liegende Ursachen hatte.</w:t>
      </w:r>
    </w:p>
    <w:p>
      <w:pPr>
        <w:pStyle w:val="Heading3"/>
      </w:pPr>
      <w:r>
        <w:t>3.4 Medizinische Befunde</w:t>
      </w:r>
    </w:p>
    <w:p>
      <w:r>
        <w:rPr>
          <w:rFonts w:ascii="Times New Roman" w:hAnsi="Times New Roman"/>
          <w:b w:val="0"/>
          <w:i w:val="0"/>
          <w:sz w:val="22"/>
        </w:rPr>
        <w:t>Der intraoperative Befund vom 21.04.2026 dokumentiert einen frischen, blutig imbibierten Rupturrand, der nach der Einschätzung des Operateurs eine akute traumatische Komponente auf vorbestehender degenerativer Struktur belegt. Das im MRT nachgewiesene Knochenmarködem am Tuberculum majus ist ein typisches Zeichen einer frischen knöchernen Belastungsreaktion.</w:t>
      </w:r>
    </w:p>
    <w:p>
      <w:pPr>
        <w:pStyle w:val="Heading2"/>
      </w:pPr>
      <w:r>
        <w:t>4. Rechtliche Bewertung</w:t>
      </w:r>
    </w:p>
    <w:p>
      <w:r>
        <w:rPr>
          <w:rFonts w:ascii="Times New Roman" w:hAnsi="Times New Roman"/>
          <w:b w:val="0"/>
          <w:i w:val="0"/>
          <w:sz w:val="22"/>
        </w:rPr>
        <w:t>Nach der Rechtsprechung des Bundessozialgerichts, unter anderem B 2 U 4/18 R, genügt für den Nachweis des Unfallereignisses der Vollbeweis anhand einer Gesamtwürdigung aller Umstände; eine unmittelbare Beobachtung ist nicht zwingend erforderlich, wenn sich aus Indizien ein schlüssiges Gesamtbild ergibt. Auch bei vorbestehendem Gesundheitsschaden genügt es, wenn das Unfallereignis eine wesentliche Teilursache im Sinne der im Sozialrecht geltenden Kausalitätslehre der wesentlichen Bedingung darstellt.</w:t>
      </w:r>
    </w:p>
    <w:p>
      <w:pPr>
        <w:pStyle w:val="Heading2"/>
      </w:pPr>
      <w:r>
        <w:t>5. Beweisanträge</w:t>
      </w:r>
    </w:p>
    <w:p>
      <w:r>
        <w:rPr>
          <w:rFonts w:ascii="Times New Roman" w:hAnsi="Times New Roman"/>
          <w:b w:val="0"/>
          <w:i w:val="0"/>
          <w:sz w:val="22"/>
        </w:rPr>
        <w:t>Es wird beantragt, das vollständige Wartungsbuch Rampe 4 für die Monate Februar bis April 2026 beizuziehen, die Zeugen Kopp, Lehnert und Nauheim erneut unter Vorhalt der ergänzenden Unterlagen zu befragen sowie ein unfallchirurgisches Zusammenhangsgutachten einzuholen.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