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Klageerwiderung der Berufsgenossenschaft</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Löbstraße 22, 54292 Trier</w:t>
      </w:r>
    </w:p>
    <w:p>
      <w:r>
        <w:rPr>
          <w:rFonts w:ascii="Times New Roman" w:hAnsi="Times New Roman"/>
          <w:b w:val="0"/>
          <w:i w:val="0"/>
          <w:sz w:val="22"/>
        </w:rPr>
        <w:t>Aktenzeichen: BGHW-2026-350118-MÖLLER</w:t>
      </w:r>
    </w:p>
    <w:p/>
    <w:p>
      <w:r>
        <w:rPr>
          <w:rFonts w:ascii="Times New Roman" w:hAnsi="Times New Roman"/>
          <w:b w:val="0"/>
          <w:i w:val="0"/>
          <w:sz w:val="22"/>
        </w:rPr>
        <w:t>An das Sozialgericht Trier, Az. S 4 U 88/26, Erwiderung vom 25.11.2026.</w:t>
      </w:r>
    </w:p>
    <w:p>
      <w:pPr>
        <w:pStyle w:val="Heading2"/>
      </w:pPr>
      <w:r>
        <w:t>1. Antrag</w:t>
      </w:r>
    </w:p>
    <w:p>
      <w:r>
        <w:rPr>
          <w:rFonts w:ascii="Times New Roman" w:hAnsi="Times New Roman"/>
          <w:b w:val="0"/>
          <w:i w:val="0"/>
          <w:sz w:val="22"/>
        </w:rPr>
        <w:t>Die Beklagte beantragt, die Klage abzuweisen.</w:t>
      </w:r>
    </w:p>
    <w:p>
      <w:pPr>
        <w:pStyle w:val="Heading2"/>
      </w:pPr>
      <w:r>
        <w:t>2. Erwiderung in der Sache</w:t>
      </w:r>
    </w:p>
    <w:p>
      <w:r>
        <w:rPr>
          <w:rFonts w:ascii="Times New Roman" w:hAnsi="Times New Roman"/>
          <w:b w:val="0"/>
          <w:i w:val="0"/>
          <w:sz w:val="22"/>
        </w:rPr>
        <w:t>Die Beklagte hält an ihrer im Widerspruchsbescheid dargelegten Auffassung fest. Ergänzend wird vorgetragen, dass Herr Möller nach der internen Arbeitsanweisung Nr. 14 nicht zur eigenhändigen Wartung der Überladebrücke befugt gewesen sei; ein Verstoß gegen innerbetriebliche Anweisungen könne den Zusammenhang mit der versicherten Tätigkeit infrage stellen.</w:t>
      </w:r>
    </w:p>
    <w:p>
      <w:pPr>
        <w:pStyle w:val="Heading2"/>
      </w:pPr>
      <w:r>
        <w:t>3. Stellungnahme zu den Beweisanträgen</w:t>
      </w:r>
    </w:p>
    <w:p>
      <w:r>
        <w:rPr>
          <w:rFonts w:ascii="Times New Roman" w:hAnsi="Times New Roman"/>
          <w:b w:val="0"/>
          <w:i w:val="0"/>
          <w:sz w:val="22"/>
        </w:rPr>
        <w:t>Gegen die Einholung eines Sachverständigengutachtens bestehen keine grundsätzlichen Einwände; die Beklagte behält sich vor, nach Vorlage des Gutachtens ergänzend Stellung zu nehmen. Die erneute Vernehmung der bereits im Verwaltungsverfahren gehörten Zeugen wird für nicht erforderlich gehalten.</w:t>
      </w:r>
    </w:p>
    <w:p>
      <w:pPr>
        <w:pStyle w:val="Heading2"/>
      </w:pPr>
      <w:r>
        <w:t>4. Hinweis zur Arbeitsanweisung</w:t>
      </w:r>
    </w:p>
    <w:p>
      <w:r>
        <w:rPr>
          <w:rFonts w:ascii="Times New Roman" w:hAnsi="Times New Roman"/>
          <w:b w:val="0"/>
          <w:i w:val="0"/>
          <w:sz w:val="22"/>
        </w:rPr>
        <w:t>Die Beklagte legt als Anlage die interne Arbeitsanweisung Nr. 14 zur Ladungssicherung vor, wonach die Wartung technischer Rampenanlagen ausschließlich dem Rampenwart obliegt.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