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Berufsgenossenschaftliche Reha-Empfehlung</w:t>
      </w:r>
    </w:p>
    <w:p>
      <w:r>
        <w:rPr>
          <w:rFonts w:ascii="Times New Roman" w:hAnsi="Times New Roman"/>
          <w:b/>
          <w:i w:val="0"/>
          <w:sz w:val="22"/>
        </w:rPr>
        <w:t>Berufsgenossenschaft Handel und Warenlogistik</w:t>
      </w:r>
    </w:p>
    <w:p>
      <w:r>
        <w:rPr>
          <w:rFonts w:ascii="Times New Roman" w:hAnsi="Times New Roman"/>
          <w:b w:val="0"/>
          <w:i w:val="0"/>
          <w:sz w:val="22"/>
        </w:rPr>
        <w:t>Bezirksverwaltung Trier</w:t>
      </w:r>
    </w:p>
    <w:p>
      <w:r>
        <w:rPr>
          <w:rFonts w:ascii="Times New Roman" w:hAnsi="Times New Roman"/>
          <w:b w:val="0"/>
          <w:i w:val="0"/>
          <w:sz w:val="22"/>
        </w:rPr>
        <w:t>Löbstraße 22, 54292 Trier</w:t>
      </w:r>
    </w:p>
    <w:p>
      <w:r>
        <w:rPr>
          <w:rFonts w:ascii="Times New Roman" w:hAnsi="Times New Roman"/>
          <w:b w:val="0"/>
          <w:i w:val="0"/>
          <w:sz w:val="22"/>
        </w:rPr>
        <w:t>Aktenzeichen: BGHW-2026-350118-MÖLLER</w:t>
      </w:r>
    </w:p>
    <w:p/>
    <w:p>
      <w:r>
        <w:rPr>
          <w:rFonts w:ascii="Times New Roman" w:hAnsi="Times New Roman"/>
          <w:b w:val="0"/>
          <w:i w:val="0"/>
          <w:sz w:val="22"/>
        </w:rPr>
        <w:t>Erstellt vom Reha-Management der Berufsgenossenschaft am 30.06.2026, unter dem ausdrücklichen Vorbehalt der Anerkennung als Arbeitsunfall.</w:t>
      </w:r>
    </w:p>
    <w:p>
      <w:pPr>
        <w:pStyle w:val="Heading2"/>
      </w:pPr>
      <w:r>
        <w:t>1. Ausgangslage</w:t>
      </w:r>
    </w:p>
    <w:p>
      <w:r>
        <w:rPr>
          <w:rFonts w:ascii="Times New Roman" w:hAnsi="Times New Roman"/>
          <w:b w:val="0"/>
          <w:i w:val="0"/>
          <w:sz w:val="22"/>
        </w:rPr>
        <w:t>Nach dem Bericht der BG Klinik Ludwigshafen vom 22.06.2026 besteht ein relevantes Kraftdefizit der rechten Schulter, das eine Rückkehr auf den bisherigen, körperlich anspruchsvollen Arbeitsplatz als Lagerleiter derzeit erschwert.</w:t>
      </w:r>
    </w:p>
    <w:p>
      <w:pPr>
        <w:pStyle w:val="Heading2"/>
      </w:pPr>
      <w:r>
        <w:t>2. Empfohlene Maßnahmen</w:t>
      </w:r>
    </w:p>
    <w:p>
      <w:r>
        <w:rPr>
          <w:rFonts w:ascii="Times New Roman" w:hAnsi="Times New Roman"/>
          <w:b w:val="0"/>
          <w:i w:val="0"/>
          <w:sz w:val="22"/>
        </w:rPr>
        <w:t>Empfohlen werden eine stufenweise Wiedereingliederung nach dem Hamburger Modell über acht Wochen, begleitende ambulante Physiotherapie zweimal wöchentlich sowie eine ergonomische Arbeitsplatzberatung durch den technischen Aufsichtsdienst der Berufsgenossenschaft.</w:t>
      </w:r>
    </w:p>
    <w:p>
      <w:pPr>
        <w:pStyle w:val="Heading2"/>
      </w:pPr>
      <w:r>
        <w:t>3. Zeitplan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Belastung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Wiedereingliederung Stufe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vier Stunden täglich, keine Hebetätigkeit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Wiedereingliederung Stufe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sechs Stunden täglich, Heben bis 5 Kilogramm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Wiedereingliederung Stufe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volle Arbeitszeit, Heben bis 10 Kilogramm unter Beobachtung</w:t>
            </w:r>
          </w:p>
        </w:tc>
      </w:tr>
    </w:tbl>
    <w:p/>
    <w:p>
      <w:pPr>
        <w:pStyle w:val="Heading2"/>
      </w:pPr>
      <w:r>
        <w:t>4. Vorbehalt</w:t>
      </w:r>
    </w:p>
    <w:p>
      <w:r>
        <w:rPr>
          <w:rFonts w:ascii="Times New Roman" w:hAnsi="Times New Roman"/>
          <w:b w:val="0"/>
          <w:i w:val="0"/>
          <w:sz w:val="22"/>
        </w:rPr>
        <w:t>Die Empfehlung wird ausdrücklich nur für den Fall ausgesprochen, dass die Anerkennung als Arbeitsunfall im Widerspruchs- oder Klageverfahren erfolgt. Bis dahin ruht die Umsetzung.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