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Trennung</w:t>
      </w:r>
    </w:p>
    <w:p>
      <w:pPr>
        <w:jc w:val="left"/>
      </w:pPr>
      <w:r>
        <w:t>Mira Aiblinger und Tobias Aiblinger heirateten am 19.07.2014. Die Trennung erfolgte nach übereinstimmender Darstellung am 01.02.2026. Tobias zog in eine Mietwohnung in Kolbermoor. Mira blieb mit den Kindern im Haus in Rosenheim. Ein Scheidungsantrag soll frühestens im Februar 2027 gestellt werden.</w:t>
      </w:r>
    </w:p>
    <w:p>
      <w:pPr>
        <w:jc w:val="left"/>
      </w:pPr>
      <w:r>
        <w:t>Tobias ist Entwicklungsleiter bei der Berglicht Robotics GmbH. Mira ist angestellte Physiotherapeutin mit 24 Wochenstunden. Sie möchte ab September 2026 auf 30 Wochenstunden erhöhen, falls die Betreuung von Nino gesichert ist. Tobias meint, Mira könne sofort voll arbeiten. Mira verweist auf Ninos Einschulung, Emil mit ADHS-Diagnostik und die Nachmittagslogistik.</w:t>
      </w:r>
    </w:p>
    <w:p>
      <w:pPr>
        <w:pStyle w:val="Heading2"/>
      </w:pPr>
      <w:r>
        <w:t>Erstgespräch und Urkundenstand</w:t>
      </w:r>
    </w:p>
    <w:p>
      <w:r>
        <w:t>Mira Aiblinger erschien am 4. Mai 2026 um 10:20 Uhr in der Kanzlei. Sie legte die Heiratsurkunde vom 19. Juli 2014, die Geburtsurkunden der Kinder Klara (17. September 2011), Emil (6. Februar 2014) und Nino (28. August 2020), den Grundbuchauszug zum Haus Innstraße 44 sowie Kontoauszüge von Februar bis April vor. Tobias Aiblinger ist seit dem 1. Februar in einer Wohnung in der Rosenheimer Straße 19 in Kolbermoor gemeldet.</w:t>
      </w:r>
    </w:p>
    <w:p>
      <w:r>
        <w:t>Nach Miras Schilderung wurde die Trennung am Abend des 31. Januar in der Ehewohnung ausgesprochen. Tobias übernachtete ab dem Folgetag außerhalb und nahm am 5. Februar Kleidung und Arbeitsunterlagen mit. Gemeinsame Mahlzeiten oder gegenseitige Versorgung finden seitdem nicht mehr statt. Die Kinder blieben im Haus; Schlüssel und Hauskonto werden noch von beiden genutzt.</w:t>
      </w:r>
    </w:p>
    <w:p>
      <w:r>
        <w:t>Offen sind der genaue Stand des gemeinsamen Darlehens, die Trennung der Versicherungen und die schriftliche Betreuungsabsprache. Ein Scheidungsantrag wurde nicht eingereicht. Die Angaben werden zunächst als Mandantenschilderung geführt und mit Urkunden, Kontobelegen und Korrespondenz abgeglichen.</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01_sachverhalt_und_trennung.docx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Aiblinger ./. Aiblinger · FA-2026/317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