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Kinder, Betreuung und Mehrbedarf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Kind</w:t>
            </w:r>
          </w:p>
        </w:tc>
        <w:tc>
          <w:tcPr>
            <w:tcW w:type="dxa" w:w="2268"/>
          </w:tcPr>
          <w:p>
            <w:r>
              <w:rPr>
                <w:rFonts w:ascii="Times New Roman" w:hAnsi="Times New Roman"/>
                <w:b/>
                <w:sz w:val="20"/>
              </w:rPr>
              <w:t>Alter 2026</w:t>
            </w:r>
          </w:p>
        </w:tc>
        <w:tc>
          <w:tcPr>
            <w:tcW w:type="dxa" w:w="2268"/>
          </w:tcPr>
          <w:p>
            <w:r>
              <w:rPr>
                <w:rFonts w:ascii="Times New Roman" w:hAnsi="Times New Roman"/>
                <w:b/>
                <w:sz w:val="20"/>
              </w:rPr>
              <w:t>Lebensmittelpunkt</w:t>
            </w:r>
          </w:p>
        </w:tc>
        <w:tc>
          <w:tcPr>
            <w:tcW w:type="dxa" w:w="2268"/>
          </w:tcPr>
          <w:p>
            <w:r>
              <w:rPr>
                <w:rFonts w:ascii="Times New Roman" w:hAnsi="Times New Roman"/>
                <w:b/>
                <w:sz w:val="20"/>
              </w:rPr>
              <w:t>Besonderheiten</w:t>
            </w:r>
          </w:p>
        </w:tc>
      </w:tr>
      <w:tr>
        <w:tc>
          <w:tcPr>
            <w:tcW w:type="dxa" w:w="2268"/>
          </w:tcPr>
          <w:p>
            <w:r>
              <w:rPr>
                <w:rFonts w:ascii="Times New Roman" w:hAnsi="Times New Roman"/>
                <w:sz w:val="20"/>
              </w:rPr>
              <w:t>Klara</w:t>
            </w:r>
          </w:p>
        </w:tc>
        <w:tc>
          <w:tcPr>
            <w:tcW w:type="dxa" w:w="2268"/>
          </w:tcPr>
          <w:p>
            <w:r>
              <w:rPr>
                <w:rFonts w:ascii="Times New Roman" w:hAnsi="Times New Roman"/>
                <w:sz w:val="20"/>
              </w:rPr>
              <w:t>16</w:t>
            </w:r>
          </w:p>
        </w:tc>
        <w:tc>
          <w:tcPr>
            <w:tcW w:type="dxa" w:w="2268"/>
          </w:tcPr>
          <w:p>
            <w:r>
              <w:rPr>
                <w:rFonts w:ascii="Times New Roman" w:hAnsi="Times New Roman"/>
                <w:sz w:val="20"/>
              </w:rPr>
              <w:t>Mira</w:t>
            </w:r>
          </w:p>
        </w:tc>
        <w:tc>
          <w:tcPr>
            <w:tcW w:type="dxa" w:w="2268"/>
          </w:tcPr>
          <w:p>
            <w:r>
              <w:rPr>
                <w:rFonts w:ascii="Times New Roman" w:hAnsi="Times New Roman"/>
                <w:sz w:val="20"/>
              </w:rPr>
              <w:t>Gymnasium, Musikschule, Zahnspange abgeschlossen</w:t>
            </w:r>
          </w:p>
        </w:tc>
      </w:tr>
      <w:tr>
        <w:tc>
          <w:tcPr>
            <w:tcW w:type="dxa" w:w="2268"/>
          </w:tcPr>
          <w:p>
            <w:r>
              <w:rPr>
                <w:rFonts w:ascii="Times New Roman" w:hAnsi="Times New Roman"/>
                <w:sz w:val="20"/>
              </w:rPr>
              <w:t>Emil</w:t>
            </w:r>
          </w:p>
        </w:tc>
        <w:tc>
          <w:tcPr>
            <w:tcW w:type="dxa" w:w="2268"/>
          </w:tcPr>
          <w:p>
            <w:r>
              <w:rPr>
                <w:rFonts w:ascii="Times New Roman" w:hAnsi="Times New Roman"/>
                <w:sz w:val="20"/>
              </w:rPr>
              <w:t>12</w:t>
            </w:r>
          </w:p>
        </w:tc>
        <w:tc>
          <w:tcPr>
            <w:tcW w:type="dxa" w:w="2268"/>
          </w:tcPr>
          <w:p>
            <w:r>
              <w:rPr>
                <w:rFonts w:ascii="Times New Roman" w:hAnsi="Times New Roman"/>
                <w:sz w:val="20"/>
              </w:rPr>
              <w:t>Mira</w:t>
            </w:r>
          </w:p>
        </w:tc>
        <w:tc>
          <w:tcPr>
            <w:tcW w:type="dxa" w:w="2268"/>
          </w:tcPr>
          <w:p>
            <w:r>
              <w:rPr>
                <w:rFonts w:ascii="Times New Roman" w:hAnsi="Times New Roman"/>
                <w:sz w:val="20"/>
              </w:rPr>
              <w:t>ADHS-Diagnostik, Lerntherapie</w:t>
            </w:r>
          </w:p>
        </w:tc>
      </w:tr>
      <w:tr>
        <w:tc>
          <w:tcPr>
            <w:tcW w:type="dxa" w:w="2268"/>
          </w:tcPr>
          <w:p>
            <w:r>
              <w:rPr>
                <w:rFonts w:ascii="Times New Roman" w:hAnsi="Times New Roman"/>
                <w:sz w:val="20"/>
              </w:rPr>
              <w:t>Nino</w:t>
            </w:r>
          </w:p>
        </w:tc>
        <w:tc>
          <w:tcPr>
            <w:tcW w:type="dxa" w:w="2268"/>
          </w:tcPr>
          <w:p>
            <w:r>
              <w:rPr>
                <w:rFonts w:ascii="Times New Roman" w:hAnsi="Times New Roman"/>
                <w:sz w:val="20"/>
              </w:rPr>
              <w:t>6</w:t>
            </w:r>
          </w:p>
        </w:tc>
        <w:tc>
          <w:tcPr>
            <w:tcW w:type="dxa" w:w="2268"/>
          </w:tcPr>
          <w:p>
            <w:r>
              <w:rPr>
                <w:rFonts w:ascii="Times New Roman" w:hAnsi="Times New Roman"/>
                <w:sz w:val="20"/>
              </w:rPr>
              <w:t>Mira</w:t>
            </w:r>
          </w:p>
        </w:tc>
        <w:tc>
          <w:tcPr>
            <w:tcW w:type="dxa" w:w="2268"/>
          </w:tcPr>
          <w:p>
            <w:r>
              <w:rPr>
                <w:rFonts w:ascii="Times New Roman" w:hAnsi="Times New Roman"/>
                <w:sz w:val="20"/>
              </w:rPr>
              <w:t>Einschulung September 2026, Hortplatz zugesagt</w:t>
            </w:r>
          </w:p>
        </w:tc>
      </w:tr>
    </w:tbl>
    <w:p>
      <w:pPr>
        <w:jc w:val="left"/>
      </w:pPr>
      <w:r>
        <w:t>Tobias betreut jedes zweite Wochenende und mittwochs von 15:30 Uhr bis 19:00 Uhr. Eine paritätische Betreuung liegt nicht vor. Der Mehrbedarf ist zwischen den Eltern quotal zu verteilen, soweit er angemessen und belegt ist. Klara hat Musikschulkosten von 86,00 EUR monatlich. Emil erhält Lerntherapie für 210,00 EUR monatlich. Nino hat ab September Hortkosten von voraussichtlich 145,00 EUR monatlich.</w:t>
      </w:r>
    </w:p>
    <w:p>
      <w:pPr>
        <w:pStyle w:val="Heading2"/>
      </w:pPr>
      <w:r>
        <w:t>Wochenablauf und konkrete Kinderkosten</w:t>
      </w:r>
    </w:p>
    <w:p>
      <w:r>
        <w:t>Klara besucht die neunte Klasse des Ignaz-Günther-Gymnasiums und hat montags Cellounterricht. Emil besucht die sechste Klasse der Mittelschule Aising und erhält dienstags von 15:30 bis 16:30 Uhr Lerntherapie. Nino wird im September eingeschult; der Hortplatz ist montags bis donnerstags bis 16:00 Uhr reserviert. Mira übernimmt Arzttermine, Elternabende, Hausaufgaben und Fahrten zu Therapie und Musikschule.</w:t>
      </w:r>
    </w:p>
    <w:p>
      <w:r>
        <w:t>Tobias holt die Kinder mittwochs regelmäßig um 15:30 Uhr ab und bringt sie um 19:00 Uhr zurück. Jedes zweite Wochenende verbringen sie von Freitagabend bis Sonntagabend bei ihm. Im März fielen zwei Mittwochsbetreuungen wegen Dienstreisen aus; Mira organisierte kurzfristig ihre Schwester. Über Ferien und Feiertage gibt es noch keine schriftliche Regelung.</w:t>
      </w:r>
    </w:p>
    <w:p>
      <w:r>
        <w:t>Belegt sind monatlich 86 Euro Musikschule, 210 Euro Lerntherapie und ab September voraussichtlich 145 Euro Hort. Hinzu kommen eine Klassenfahrtanzahlung von 180 Euro für Klara und 74 Euro für Emils Brille. Die Zustimmung von Tobias zur Lerntherapie wurde bislang nur in einer Nachricht vom 11. Januar erklärt.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02_kinder_betreuung_mehrbedarf.docx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Kinder Klara, Emil und Nino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