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556"/>
        <w:gridCol w:w="3515"/>
      </w:tblGrid>
      <w:tr>
        <w:tc>
          <w:tcPr>
            <w:tcW w:type="dxa" w:w="5556"/>
            <w:vAlign w:val="center"/>
            <w:tcMar>
              <w:top w:w="70" w:type="dxa"/>
              <w:left w:w="70" w:type="dxa"/>
              <w:bottom w:w="70" w:type="dxa"/>
              <w:right w:w="70" w:type="dxa"/>
            </w:tcMar>
          </w:tcPr>
          <w:p>
            <w:pPr>
              <w:spacing w:after="0"/>
            </w:pPr>
            <w:r>
              <w:rPr>
                <w:rFonts w:ascii="Arial" w:hAnsi="Arial"/>
                <w:b/>
                <w:color w:val="24364B"/>
                <w:sz w:val="30"/>
              </w:rPr>
              <w:t>EDER &amp; KOLLEGEN FAMILIENRECHT</w:t>
            </w:r>
          </w:p>
        </w:tc>
        <w:tc>
          <w:tcPr>
            <w:tcW w:type="dxa" w:w="3515"/>
            <w:vAlign w:val="center"/>
            <w:tcMar>
              <w:top w:w="70" w:type="dxa"/>
              <w:left w:w="70" w:type="dxa"/>
              <w:bottom w:w="70" w:type="dxa"/>
              <w:right w:w="70" w:type="dxa"/>
            </w:tcMar>
          </w:tcPr>
          <w:p>
            <w:pPr>
              <w:spacing w:after="0"/>
              <w:jc w:val="right"/>
            </w:pPr>
            <w:r>
              <w:rPr>
                <w:rFonts w:ascii="Arial" w:hAnsi="Arial"/>
                <w:sz w:val="16"/>
              </w:rPr>
              <w:t>Münchener Straße 18 · 83022 Rosenheim</w:t>
              <w:br/>
              <w:t>Telefon 08031 389 44-0</w:t>
              <w:br/>
              <w:t>kanzlei@eder-kollegen.example.invalid</w:t>
            </w:r>
          </w:p>
        </w:tc>
      </w:tr>
    </w:tbl>
    <w:p>
      <w:pPr>
        <w:spacing w:after="40"/>
      </w:pPr>
    </w:p>
    <w:tbl>
      <w:tblPr>
        <w:tblW w:type="auto" w:w="0"/>
        <w:jc w:val="left"/>
        <w:tblLayout w:type="fixed"/>
        <w:tblLook w:firstColumn="1" w:firstRow="1" w:lastColumn="0" w:lastRow="0" w:noHBand="0" w:noVBand="1" w:val="04A0"/>
      </w:tblPr>
      <w:tblGrid>
        <w:gridCol w:w="2041"/>
        <w:gridCol w:w="6973"/>
      </w:tblGrid>
      <w:tr>
        <w:tc>
          <w:tcPr>
            <w:tcW w:type="dxa" w:w="2041"/>
            <w:shd w:fill="E9EEF2"/>
            <w:tcMar>
              <w:top w:w="90" w:type="dxa"/>
              <w:left w:w="90" w:type="dxa"/>
              <w:bottom w:w="90" w:type="dxa"/>
              <w:right w:w="90" w:type="dxa"/>
            </w:tcMar>
            <w:vAlign w:val="center"/>
          </w:tcPr>
          <w:p>
            <w:r>
              <w:rPr>
                <w:rFonts w:ascii="Arial" w:hAnsi="Arial"/>
                <w:b/>
                <w:sz w:val="18"/>
              </w:rPr>
              <w:t>Mandantin</w:t>
            </w:r>
          </w:p>
        </w:tc>
        <w:tc>
          <w:tcPr>
            <w:tcW w:type="dxa" w:w="6973"/>
            <w:tcMar>
              <w:top w:w="90" w:type="dxa"/>
              <w:left w:w="90" w:type="dxa"/>
              <w:bottom w:w="90" w:type="dxa"/>
              <w:right w:w="90" w:type="dxa"/>
            </w:tcMar>
            <w:vAlign w:val="center"/>
          </w:tcPr>
          <w:p>
            <w:r>
              <w:rPr>
                <w:rFonts w:ascii="Arial" w:hAnsi="Arial"/>
                <w:sz w:val="18"/>
              </w:rPr>
              <w:t>Mira Aiblinger, Innstraße 44, 83022 Rosenheim</w:t>
            </w:r>
          </w:p>
        </w:tc>
      </w:tr>
      <w:tr>
        <w:tc>
          <w:tcPr>
            <w:tcW w:type="dxa" w:w="2041"/>
            <w:shd w:fill="E9EEF2"/>
            <w:tcMar>
              <w:top w:w="90" w:type="dxa"/>
              <w:left w:w="90" w:type="dxa"/>
              <w:bottom w:w="90" w:type="dxa"/>
              <w:right w:w="90" w:type="dxa"/>
            </w:tcMar>
            <w:vAlign w:val="center"/>
          </w:tcPr>
          <w:p>
            <w:r>
              <w:rPr>
                <w:rFonts w:ascii="Arial" w:hAnsi="Arial"/>
                <w:b/>
                <w:sz w:val="18"/>
              </w:rPr>
              <w:t>Gegenseite</w:t>
            </w:r>
          </w:p>
        </w:tc>
        <w:tc>
          <w:tcPr>
            <w:tcW w:type="dxa" w:w="6973"/>
            <w:tcMar>
              <w:top w:w="90" w:type="dxa"/>
              <w:left w:w="90" w:type="dxa"/>
              <w:bottom w:w="90" w:type="dxa"/>
              <w:right w:w="90" w:type="dxa"/>
            </w:tcMar>
            <w:vAlign w:val="center"/>
          </w:tcPr>
          <w:p>
            <w:r>
              <w:rPr>
                <w:rFonts w:ascii="Arial" w:hAnsi="Arial"/>
                <w:sz w:val="18"/>
              </w:rPr>
              <w:t>Tobias Aiblinger</w:t>
            </w:r>
          </w:p>
        </w:tc>
      </w:tr>
      <w:tr>
        <w:tc>
          <w:tcPr>
            <w:tcW w:type="dxa" w:w="2041"/>
            <w:shd w:fill="E9EEF2"/>
            <w:tcMar>
              <w:top w:w="90" w:type="dxa"/>
              <w:left w:w="90" w:type="dxa"/>
              <w:bottom w:w="90" w:type="dxa"/>
              <w:right w:w="90" w:type="dxa"/>
            </w:tcMar>
            <w:vAlign w:val="center"/>
          </w:tcPr>
          <w:p>
            <w:r>
              <w:rPr>
                <w:rFonts w:ascii="Arial" w:hAnsi="Arial"/>
                <w:b/>
                <w:sz w:val="18"/>
              </w:rPr>
              <w:t>Stand</w:t>
            </w:r>
          </w:p>
        </w:tc>
        <w:tc>
          <w:tcPr>
            <w:tcW w:type="dxa" w:w="6973"/>
            <w:tcMar>
              <w:top w:w="90" w:type="dxa"/>
              <w:left w:w="90" w:type="dxa"/>
              <w:bottom w:w="90" w:type="dxa"/>
              <w:right w:w="90" w:type="dxa"/>
            </w:tcMar>
            <w:vAlign w:val="center"/>
          </w:tcPr>
          <w:p>
            <w:r>
              <w:rPr>
                <w:rFonts w:ascii="Arial" w:hAnsi="Arial"/>
                <w:sz w:val="18"/>
              </w:rPr>
              <w:t>22. Mai 2026</w:t>
            </w:r>
          </w:p>
        </w:tc>
      </w:tr>
      <w:tr>
        <w:tc>
          <w:tcPr>
            <w:tcW w:type="dxa" w:w="2041"/>
            <w:shd w:fill="E9EEF2"/>
            <w:tcMar>
              <w:top w:w="90" w:type="dxa"/>
              <w:left w:w="90" w:type="dxa"/>
              <w:bottom w:w="90" w:type="dxa"/>
              <w:right w:w="90" w:type="dxa"/>
            </w:tcMar>
            <w:vAlign w:val="center"/>
          </w:tcPr>
          <w:p>
            <w:r>
              <w:rPr>
                <w:rFonts w:ascii="Arial" w:hAnsi="Arial"/>
                <w:b/>
                <w:sz w:val="18"/>
              </w:rPr>
              <w:t>Unser Zeichen</w:t>
            </w:r>
          </w:p>
        </w:tc>
        <w:tc>
          <w:tcPr>
            <w:tcW w:type="dxa" w:w="6973"/>
            <w:tcMar>
              <w:top w:w="90" w:type="dxa"/>
              <w:left w:w="90" w:type="dxa"/>
              <w:bottom w:w="90" w:type="dxa"/>
              <w:right w:w="90" w:type="dxa"/>
            </w:tcMar>
            <w:vAlign w:val="center"/>
          </w:tcPr>
          <w:p>
            <w:r>
              <w:rPr>
                <w:rFonts w:ascii="Arial" w:hAnsi="Arial"/>
                <w:sz w:val="18"/>
              </w:rPr>
              <w:t>FA-2026/317</w:t>
            </w:r>
          </w:p>
        </w:tc>
      </w:tr>
    </w:tbl>
    <w:p>
      <w:pPr>
        <w:spacing w:after="20"/>
      </w:pPr>
    </w:p>
    <w:p>
      <w:pPr>
        <w:pStyle w:val="Title"/>
      </w:pPr>
      <w:r>
        <w:t>Einkommensunterlagen Mira Aiblinger</w:t>
      </w:r>
    </w:p>
    <w:p>
      <w:pPr>
        <w:pStyle w:val="Heading1"/>
      </w:pPr>
      <w:r>
        <w:t>1. Beschäftigung und Arbeitszeit</w:t>
      </w:r>
    </w:p>
    <w:p>
      <w:r>
        <w:t>Mira Aiblinger ist seit dem 1. Oktober 2011 bei der Physiotherapiepraxis Dr. Riedl &amp; Partner in Rosenheim beschäftigt. Seit August 2020 arbeitet sie wegen der Betreuung der drei Kinder 24 Wochenstunden, regelmäßig montags bis donnerstags zwischen 08:00 und 14:30 Uhr. Eine Änderungskündigung oder Befristung besteht nicht.</w:t>
      </w:r>
    </w:p>
    <w:p>
      <w:r>
        <w:t>Die Praxisleitung hat am 12. Mai 2026 schriftlich angeboten, die Arbeitszeit ab 1. September auf 30 Wochenstunden zu erhöhen. Eine Vollzeitstelle ist nach der Arbeitgeberauskunft derzeit nicht frei. Die sechs zusätzlichen Stunden sollen dienstags und donnerstags am Nachmittag liegen; die Betreuung von Nino und der Termin der Lerntherapie von Emil sind noch nicht abschließend organisiert.</w:t>
      </w:r>
    </w:p>
    <w:tbl>
      <w:tblPr>
        <w:tblW w:type="auto" w:w="0"/>
        <w:jc w:val="center"/>
        <w:tblLayout w:type="fixed"/>
        <w:tblLook w:firstColumn="1" w:firstRow="1" w:lastColumn="0" w:lastRow="0" w:noHBand="0" w:noVBand="1" w:val="04A0"/>
      </w:tblPr>
      <w:tblGrid>
        <w:gridCol w:w="2381"/>
        <w:gridCol w:w="2381"/>
        <w:gridCol w:w="2381"/>
        <w:gridCol w:w="2381"/>
      </w:tblGrid>
      <w:tr>
        <w:tc>
          <w:tcPr>
            <w:tcW w:type="dxa" w:w="1757"/>
            <w:shd w:fill="385A64"/>
            <w:tcMar>
              <w:top w:w="90" w:type="dxa"/>
              <w:left w:w="90" w:type="dxa"/>
              <w:bottom w:w="90" w:type="dxa"/>
              <w:right w:w="90" w:type="dxa"/>
            </w:tcMar>
          </w:tcPr>
          <w:p>
            <w:r>
              <w:rPr>
                <w:rFonts w:ascii="Arial" w:hAnsi="Arial"/>
                <w:b/>
                <w:color w:val="FFFFFF"/>
                <w:sz w:val="17"/>
              </w:rPr>
              <w:t>Monat</w:t>
            </w:r>
          </w:p>
        </w:tc>
        <w:tc>
          <w:tcPr>
            <w:tcW w:type="dxa" w:w="1814"/>
            <w:shd w:fill="385A64"/>
            <w:tcMar>
              <w:top w:w="90" w:type="dxa"/>
              <w:left w:w="90" w:type="dxa"/>
              <w:bottom w:w="90" w:type="dxa"/>
              <w:right w:w="90" w:type="dxa"/>
            </w:tcMar>
          </w:tcPr>
          <w:p>
            <w:r>
              <w:rPr>
                <w:rFonts w:ascii="Arial" w:hAnsi="Arial"/>
                <w:b/>
                <w:color w:val="FFFFFF"/>
                <w:sz w:val="17"/>
              </w:rPr>
              <w:t>Brutto</w:t>
            </w:r>
          </w:p>
        </w:tc>
        <w:tc>
          <w:tcPr>
            <w:tcW w:type="dxa" w:w="1814"/>
            <w:shd w:fill="385A64"/>
            <w:tcMar>
              <w:top w:w="90" w:type="dxa"/>
              <w:left w:w="90" w:type="dxa"/>
              <w:bottom w:w="90" w:type="dxa"/>
              <w:right w:w="90" w:type="dxa"/>
            </w:tcMar>
          </w:tcPr>
          <w:p>
            <w:r>
              <w:rPr>
                <w:rFonts w:ascii="Arial" w:hAnsi="Arial"/>
                <w:b/>
                <w:color w:val="FFFFFF"/>
                <w:sz w:val="17"/>
              </w:rPr>
              <w:t>Netto</w:t>
            </w:r>
          </w:p>
        </w:tc>
        <w:tc>
          <w:tcPr>
            <w:tcW w:type="dxa" w:w="3685"/>
            <w:shd w:fill="385A64"/>
            <w:tcMar>
              <w:top w:w="90" w:type="dxa"/>
              <w:left w:w="90" w:type="dxa"/>
              <w:bottom w:w="90" w:type="dxa"/>
              <w:right w:w="90" w:type="dxa"/>
            </w:tcMar>
          </w:tcPr>
          <w:p>
            <w:r>
              <w:rPr>
                <w:rFonts w:ascii="Arial" w:hAnsi="Arial"/>
                <w:b/>
                <w:color w:val="FFFFFF"/>
                <w:sz w:val="17"/>
              </w:rPr>
              <w:t>Besonderheit / Beleg</w:t>
            </w:r>
          </w:p>
        </w:tc>
      </w:tr>
      <w:tr>
        <w:tc>
          <w:tcPr>
            <w:tcW w:type="dxa" w:w="1757"/>
            <w:shd w:fill="F4F6F7"/>
            <w:tcMar>
              <w:top w:w="90" w:type="dxa"/>
              <w:left w:w="90" w:type="dxa"/>
              <w:bottom w:w="90" w:type="dxa"/>
              <w:right w:w="90" w:type="dxa"/>
            </w:tcMar>
            <w:vAlign w:val="center"/>
          </w:tcPr>
          <w:p>
            <w:r>
              <w:rPr>
                <w:rFonts w:ascii="Arial" w:hAnsi="Arial"/>
                <w:sz w:val="16"/>
              </w:rPr>
              <w:t>Januar 2026</w:t>
            </w:r>
          </w:p>
        </w:tc>
        <w:tc>
          <w:tcPr>
            <w:tcW w:type="dxa" w:w="1814"/>
            <w:shd w:fill="F4F6F7"/>
            <w:tcMar>
              <w:top w:w="90" w:type="dxa"/>
              <w:left w:w="90" w:type="dxa"/>
              <w:bottom w:w="90" w:type="dxa"/>
              <w:right w:w="90" w:type="dxa"/>
            </w:tcMar>
            <w:vAlign w:val="center"/>
          </w:tcPr>
          <w:p>
            <w:r>
              <w:rPr>
                <w:rFonts w:ascii="Arial" w:hAnsi="Arial"/>
                <w:sz w:val="16"/>
              </w:rPr>
              <w:t>3260,00 Euro</w:t>
            </w:r>
          </w:p>
        </w:tc>
        <w:tc>
          <w:tcPr>
            <w:tcW w:type="dxa" w:w="1814"/>
            <w:shd w:fill="F4F6F7"/>
            <w:tcMar>
              <w:top w:w="90" w:type="dxa"/>
              <w:left w:w="90" w:type="dxa"/>
              <w:bottom w:w="90" w:type="dxa"/>
              <w:right w:w="90" w:type="dxa"/>
            </w:tcMar>
            <w:vAlign w:val="center"/>
          </w:tcPr>
          <w:p>
            <w:r>
              <w:rPr>
                <w:rFonts w:ascii="Arial" w:hAnsi="Arial"/>
                <w:sz w:val="16"/>
              </w:rPr>
              <w:t>2168,44 Euro</w:t>
            </w:r>
          </w:p>
        </w:tc>
        <w:tc>
          <w:tcPr>
            <w:tcW w:type="dxa" w:w="3685"/>
            <w:shd w:fill="F4F6F7"/>
            <w:tcMar>
              <w:top w:w="90" w:type="dxa"/>
              <w:left w:w="90" w:type="dxa"/>
              <w:bottom w:w="90" w:type="dxa"/>
              <w:right w:w="90" w:type="dxa"/>
            </w:tcMar>
            <w:vAlign w:val="center"/>
          </w:tcPr>
          <w:p>
            <w:r>
              <w:rPr>
                <w:rFonts w:ascii="Arial" w:hAnsi="Arial"/>
                <w:sz w:val="16"/>
              </w:rPr>
              <w:t>Abrechnung 31.01.2026</w:t>
            </w:r>
          </w:p>
        </w:tc>
      </w:tr>
      <w:tr>
        <w:tc>
          <w:tcPr>
            <w:tcW w:type="dxa" w:w="1757"/>
            <w:tcMar>
              <w:top w:w="90" w:type="dxa"/>
              <w:left w:w="90" w:type="dxa"/>
              <w:bottom w:w="90" w:type="dxa"/>
              <w:right w:w="90" w:type="dxa"/>
            </w:tcMar>
            <w:vAlign w:val="center"/>
          </w:tcPr>
          <w:p>
            <w:r>
              <w:rPr>
                <w:rFonts w:ascii="Arial" w:hAnsi="Arial"/>
                <w:sz w:val="16"/>
              </w:rPr>
              <w:t>Februar 2026</w:t>
            </w:r>
          </w:p>
        </w:tc>
        <w:tc>
          <w:tcPr>
            <w:tcW w:type="dxa" w:w="1814"/>
            <w:tcMar>
              <w:top w:w="90" w:type="dxa"/>
              <w:left w:w="90" w:type="dxa"/>
              <w:bottom w:w="90" w:type="dxa"/>
              <w:right w:w="90" w:type="dxa"/>
            </w:tcMar>
            <w:vAlign w:val="center"/>
          </w:tcPr>
          <w:p>
            <w:r>
              <w:rPr>
                <w:rFonts w:ascii="Arial" w:hAnsi="Arial"/>
                <w:sz w:val="16"/>
              </w:rPr>
              <w:t>3278,00 Euro</w:t>
            </w:r>
          </w:p>
        </w:tc>
        <w:tc>
          <w:tcPr>
            <w:tcW w:type="dxa" w:w="1814"/>
            <w:tcMar>
              <w:top w:w="90" w:type="dxa"/>
              <w:left w:w="90" w:type="dxa"/>
              <w:bottom w:w="90" w:type="dxa"/>
              <w:right w:w="90" w:type="dxa"/>
            </w:tcMar>
            <w:vAlign w:val="center"/>
          </w:tcPr>
          <w:p>
            <w:r>
              <w:rPr>
                <w:rFonts w:ascii="Arial" w:hAnsi="Arial"/>
                <w:sz w:val="16"/>
              </w:rPr>
              <w:t>2179,16 Euro</w:t>
            </w:r>
          </w:p>
        </w:tc>
        <w:tc>
          <w:tcPr>
            <w:tcW w:type="dxa" w:w="3685"/>
            <w:tcMar>
              <w:top w:w="90" w:type="dxa"/>
              <w:left w:w="90" w:type="dxa"/>
              <w:bottom w:w="90" w:type="dxa"/>
              <w:right w:w="90" w:type="dxa"/>
            </w:tcMar>
            <w:vAlign w:val="center"/>
          </w:tcPr>
          <w:p>
            <w:r>
              <w:rPr>
                <w:rFonts w:ascii="Arial" w:hAnsi="Arial"/>
                <w:sz w:val="16"/>
              </w:rPr>
              <w:t>Abrechnung 28.02.2026</w:t>
            </w:r>
          </w:p>
        </w:tc>
      </w:tr>
      <w:tr>
        <w:tc>
          <w:tcPr>
            <w:tcW w:type="dxa" w:w="1757"/>
            <w:shd w:fill="F4F6F7"/>
            <w:tcMar>
              <w:top w:w="90" w:type="dxa"/>
              <w:left w:w="90" w:type="dxa"/>
              <w:bottom w:w="90" w:type="dxa"/>
              <w:right w:w="90" w:type="dxa"/>
            </w:tcMar>
            <w:vAlign w:val="center"/>
          </w:tcPr>
          <w:p>
            <w:r>
              <w:rPr>
                <w:rFonts w:ascii="Arial" w:hAnsi="Arial"/>
                <w:sz w:val="16"/>
              </w:rPr>
              <w:t>März 2026</w:t>
            </w:r>
          </w:p>
        </w:tc>
        <w:tc>
          <w:tcPr>
            <w:tcW w:type="dxa" w:w="1814"/>
            <w:shd w:fill="F4F6F7"/>
            <w:tcMar>
              <w:top w:w="90" w:type="dxa"/>
              <w:left w:w="90" w:type="dxa"/>
              <w:bottom w:w="90" w:type="dxa"/>
              <w:right w:w="90" w:type="dxa"/>
            </w:tcMar>
            <w:vAlign w:val="center"/>
          </w:tcPr>
          <w:p>
            <w:r>
              <w:rPr>
                <w:rFonts w:ascii="Arial" w:hAnsi="Arial"/>
                <w:sz w:val="16"/>
              </w:rPr>
              <w:t>3286,00 Euro</w:t>
            </w:r>
          </w:p>
        </w:tc>
        <w:tc>
          <w:tcPr>
            <w:tcW w:type="dxa" w:w="1814"/>
            <w:shd w:fill="F4F6F7"/>
            <w:tcMar>
              <w:top w:w="90" w:type="dxa"/>
              <w:left w:w="90" w:type="dxa"/>
              <w:bottom w:w="90" w:type="dxa"/>
              <w:right w:w="90" w:type="dxa"/>
            </w:tcMar>
            <w:vAlign w:val="center"/>
          </w:tcPr>
          <w:p>
            <w:r>
              <w:rPr>
                <w:rFonts w:ascii="Arial" w:hAnsi="Arial"/>
                <w:sz w:val="16"/>
              </w:rPr>
              <w:t>2184,08 Euro</w:t>
            </w:r>
          </w:p>
        </w:tc>
        <w:tc>
          <w:tcPr>
            <w:tcW w:type="dxa" w:w="3685"/>
            <w:shd w:fill="F4F6F7"/>
            <w:tcMar>
              <w:top w:w="90" w:type="dxa"/>
              <w:left w:w="90" w:type="dxa"/>
              <w:bottom w:w="90" w:type="dxa"/>
              <w:right w:w="90" w:type="dxa"/>
            </w:tcMar>
            <w:vAlign w:val="center"/>
          </w:tcPr>
          <w:p>
            <w:r>
              <w:rPr>
                <w:rFonts w:ascii="Arial" w:hAnsi="Arial"/>
                <w:sz w:val="16"/>
              </w:rPr>
              <w:t>Abrechnung 31.03.2026</w:t>
            </w:r>
          </w:p>
        </w:tc>
      </w:tr>
      <w:tr>
        <w:tc>
          <w:tcPr>
            <w:tcW w:type="dxa" w:w="1757"/>
            <w:tcMar>
              <w:top w:w="90" w:type="dxa"/>
              <w:left w:w="90" w:type="dxa"/>
              <w:bottom w:w="90" w:type="dxa"/>
              <w:right w:w="90" w:type="dxa"/>
            </w:tcMar>
            <w:vAlign w:val="center"/>
          </w:tcPr>
          <w:p>
            <w:r>
              <w:rPr>
                <w:rFonts w:ascii="Arial" w:hAnsi="Arial"/>
                <w:sz w:val="16"/>
              </w:rPr>
              <w:t>April 2026</w:t>
            </w:r>
          </w:p>
        </w:tc>
        <w:tc>
          <w:tcPr>
            <w:tcW w:type="dxa" w:w="1814"/>
            <w:tcMar>
              <w:top w:w="90" w:type="dxa"/>
              <w:left w:w="90" w:type="dxa"/>
              <w:bottom w:w="90" w:type="dxa"/>
              <w:right w:w="90" w:type="dxa"/>
            </w:tcMar>
            <w:vAlign w:val="center"/>
          </w:tcPr>
          <w:p>
            <w:r>
              <w:rPr>
                <w:rFonts w:ascii="Arial" w:hAnsi="Arial"/>
                <w:sz w:val="16"/>
              </w:rPr>
              <w:t>3298,00 Euro</w:t>
            </w:r>
          </w:p>
        </w:tc>
        <w:tc>
          <w:tcPr>
            <w:tcW w:type="dxa" w:w="1814"/>
            <w:tcMar>
              <w:top w:w="90" w:type="dxa"/>
              <w:left w:w="90" w:type="dxa"/>
              <w:bottom w:w="90" w:type="dxa"/>
              <w:right w:w="90" w:type="dxa"/>
            </w:tcMar>
            <w:vAlign w:val="center"/>
          </w:tcPr>
          <w:p>
            <w:r>
              <w:rPr>
                <w:rFonts w:ascii="Arial" w:hAnsi="Arial"/>
                <w:sz w:val="16"/>
              </w:rPr>
              <w:t>2192,37 Euro</w:t>
            </w:r>
          </w:p>
        </w:tc>
        <w:tc>
          <w:tcPr>
            <w:tcW w:type="dxa" w:w="3685"/>
            <w:tcMar>
              <w:top w:w="90" w:type="dxa"/>
              <w:left w:w="90" w:type="dxa"/>
              <w:bottom w:w="90" w:type="dxa"/>
              <w:right w:w="90" w:type="dxa"/>
            </w:tcMar>
            <w:vAlign w:val="center"/>
          </w:tcPr>
          <w:p>
            <w:r>
              <w:rPr>
                <w:rFonts w:ascii="Arial" w:hAnsi="Arial"/>
                <w:sz w:val="16"/>
              </w:rPr>
              <w:t>einschließlich 120 Euro Fortbildungszuschuss</w:t>
            </w:r>
          </w:p>
        </w:tc>
      </w:tr>
      <w:tr>
        <w:tc>
          <w:tcPr>
            <w:tcW w:type="dxa" w:w="1757"/>
            <w:shd w:fill="F4F6F7"/>
            <w:tcMar>
              <w:top w:w="90" w:type="dxa"/>
              <w:left w:w="90" w:type="dxa"/>
              <w:bottom w:w="90" w:type="dxa"/>
              <w:right w:w="90" w:type="dxa"/>
            </w:tcMar>
            <w:vAlign w:val="center"/>
          </w:tcPr>
          <w:p>
            <w:r>
              <w:rPr>
                <w:rFonts w:ascii="Arial" w:hAnsi="Arial"/>
                <w:sz w:val="16"/>
              </w:rPr>
              <w:t>Mai 2026</w:t>
            </w:r>
          </w:p>
        </w:tc>
        <w:tc>
          <w:tcPr>
            <w:tcW w:type="dxa" w:w="1814"/>
            <w:shd w:fill="F4F6F7"/>
            <w:tcMar>
              <w:top w:w="90" w:type="dxa"/>
              <w:left w:w="90" w:type="dxa"/>
              <w:bottom w:w="90" w:type="dxa"/>
              <w:right w:w="90" w:type="dxa"/>
            </w:tcMar>
            <w:vAlign w:val="center"/>
          </w:tcPr>
          <w:p>
            <w:r>
              <w:rPr>
                <w:rFonts w:ascii="Arial" w:hAnsi="Arial"/>
                <w:sz w:val="16"/>
              </w:rPr>
              <w:t>3275,00 Euro</w:t>
            </w:r>
          </w:p>
        </w:tc>
        <w:tc>
          <w:tcPr>
            <w:tcW w:type="dxa" w:w="1814"/>
            <w:shd w:fill="F4F6F7"/>
            <w:tcMar>
              <w:top w:w="90" w:type="dxa"/>
              <w:left w:w="90" w:type="dxa"/>
              <w:bottom w:w="90" w:type="dxa"/>
              <w:right w:w="90" w:type="dxa"/>
            </w:tcMar>
            <w:vAlign w:val="center"/>
          </w:tcPr>
          <w:p>
            <w:r>
              <w:rPr>
                <w:rFonts w:ascii="Arial" w:hAnsi="Arial"/>
                <w:sz w:val="16"/>
              </w:rPr>
              <w:t>2177,95 Euro</w:t>
            </w:r>
          </w:p>
        </w:tc>
        <w:tc>
          <w:tcPr>
            <w:tcW w:type="dxa" w:w="3685"/>
            <w:shd w:fill="F4F6F7"/>
            <w:tcMar>
              <w:top w:w="90" w:type="dxa"/>
              <w:left w:w="90" w:type="dxa"/>
              <w:bottom w:w="90" w:type="dxa"/>
              <w:right w:w="90" w:type="dxa"/>
            </w:tcMar>
            <w:vAlign w:val="center"/>
          </w:tcPr>
          <w:p>
            <w:r>
              <w:rPr>
                <w:rFonts w:ascii="Arial" w:hAnsi="Arial"/>
                <w:sz w:val="16"/>
              </w:rPr>
              <w:t>Abrechnung 31.05.2026</w:t>
            </w:r>
          </w:p>
        </w:tc>
      </w:tr>
      <w:tr>
        <w:tc>
          <w:tcPr>
            <w:tcW w:type="dxa" w:w="1757"/>
            <w:tcMar>
              <w:top w:w="90" w:type="dxa"/>
              <w:left w:w="90" w:type="dxa"/>
              <w:bottom w:w="90" w:type="dxa"/>
              <w:right w:w="90" w:type="dxa"/>
            </w:tcMar>
            <w:vAlign w:val="center"/>
          </w:tcPr>
          <w:p>
            <w:r>
              <w:rPr>
                <w:rFonts w:ascii="Arial" w:hAnsi="Arial"/>
                <w:sz w:val="16"/>
              </w:rPr>
              <w:t>Durchschnitt</w:t>
            </w:r>
          </w:p>
        </w:tc>
        <w:tc>
          <w:tcPr>
            <w:tcW w:type="dxa" w:w="1814"/>
            <w:tcMar>
              <w:top w:w="90" w:type="dxa"/>
              <w:left w:w="90" w:type="dxa"/>
              <w:bottom w:w="90" w:type="dxa"/>
              <w:right w:w="90" w:type="dxa"/>
            </w:tcMar>
            <w:vAlign w:val="center"/>
          </w:tcPr>
          <w:p>
            <w:r>
              <w:rPr>
                <w:rFonts w:ascii="Arial" w:hAnsi="Arial"/>
                <w:sz w:val="16"/>
              </w:rPr>
              <w:t>3279,40 Euro</w:t>
            </w:r>
          </w:p>
        </w:tc>
        <w:tc>
          <w:tcPr>
            <w:tcW w:type="dxa" w:w="1814"/>
            <w:tcMar>
              <w:top w:w="90" w:type="dxa"/>
              <w:left w:w="90" w:type="dxa"/>
              <w:bottom w:w="90" w:type="dxa"/>
              <w:right w:w="90" w:type="dxa"/>
            </w:tcMar>
            <w:vAlign w:val="center"/>
          </w:tcPr>
          <w:p>
            <w:r>
              <w:rPr>
                <w:rFonts w:ascii="Arial" w:hAnsi="Arial"/>
                <w:sz w:val="16"/>
              </w:rPr>
              <w:t>2180,40 Euro</w:t>
            </w:r>
          </w:p>
        </w:tc>
        <w:tc>
          <w:tcPr>
            <w:tcW w:type="dxa" w:w="3685"/>
            <w:tcMar>
              <w:top w:w="90" w:type="dxa"/>
              <w:left w:w="90" w:type="dxa"/>
              <w:bottom w:w="90" w:type="dxa"/>
              <w:right w:w="90" w:type="dxa"/>
            </w:tcMar>
            <w:vAlign w:val="center"/>
          </w:tcPr>
          <w:p>
            <w:r>
              <w:rPr>
                <w:rFonts w:ascii="Arial" w:hAnsi="Arial"/>
                <w:sz w:val="16"/>
              </w:rPr>
              <w:t>vorläufiger Fünfmonatswert</w:t>
            </w:r>
          </w:p>
        </w:tc>
      </w:tr>
    </w:tbl>
    <w:p>
      <w:pPr>
        <w:spacing w:after="20"/>
      </w:pPr>
    </w:p>
    <w:p>
      <w:pPr>
        <w:pStyle w:val="Heading1"/>
      </w:pPr>
      <w:r>
        <w:t>2. Laufende Abzüge und Zahlungen</w:t>
      </w:r>
    </w:p>
    <w:p>
      <w:r>
        <w:t>Die Mandantin zahlt monatlich 64 Euro für die Fahrt zum Arbeitsplatz, 130 Euro in einen seit 2016 bestehenden Altersvorsorgevertrag und 95 Euro für private Zusatzversicherungen der Kinder. Kontoauszüge für Januar bis Mai liegen vor. Der Arbeitgeberzuschuss zur Fortbildung im April war einmalig und ist auf der Abrechnung gesondert ausgewiesen.</w:t>
      </w:r>
    </w:p>
    <w:p>
      <w:r>
        <w:t>Das ab September erwartete Netto von etwa 2610 Euro stammt aus einer unverbindlichen Probeberechnung der Lohnbuchhaltung. Steuerklasse, Kinderfreibeträge und Krankenversicherung wurden dabei unverändert angesetzt. Eine tatsächliche Abrechnung liegt naturgemäß noch nicht vor.</w:t>
      </w:r>
    </w:p>
    <w:p>
      <w:pPr>
        <w:pStyle w:val="Heading1"/>
      </w:pPr>
      <w:r>
        <w:t>3. Offene Tatsachen</w:t>
      </w:r>
    </w:p>
    <w:p>
      <w:r>
        <w:t>Noch zu belegen sind die endgültige Arbeitszeitvereinbarung, die konkrete Nachmittagsbetreuung ab September und die Zahlung der Kinder-Zusatzversicherung vom Konto der Mandantin. Die Akte führt aktuelle und mögliche künftige Einkünfte getrennt; eine rückwirkende Hochrechnung erfolgt nicht.</w:t>
      </w:r>
    </w:p>
    <w:sectPr w:rsidR="00FC693F" w:rsidRPr="0006063C" w:rsidSect="00034616">
      <w:footerReference w:type="default" r:id="rId9"/>
      <w:pgSz w:w="11906" w:h="16838"/>
      <w:pgMar w:top="96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EDER &amp; KOLLEGEN FAMILIENRECHT · FA-2026/317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85A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4364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einkommen mira</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