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Wohnwert und Hauslasten</w:t>
      </w:r>
    </w:p>
    <w:p>
      <w:pPr>
        <w:jc w:val="left"/>
      </w:pPr>
      <w:r>
        <w:t>Das Haus steht im hälftigen Miteigentum. Mira nutzt es mit den drei Kindern. Tobias verlangt, den vollen objektiven Wohnwert anzusetzen. Mira möchte bis zur Scheidung nur den angemessenen Wohnwert ansetzen, weil ein Verkauf oder Auszug nicht kurzfristig zumutbar sei. Die Akte enthält deshalb zwei Varianten:</w:t>
      </w:r>
    </w:p>
    <w:p>
      <w:pPr>
        <w:pStyle w:val="ListNumber"/>
      </w:pPr>
      <w:r>
        <w:t>Variante A: objektiver Wohnwert 1.850,00 EUR, Zinslast 780,00 EUR, keine volle Tilgungsberücksichtigung.</w:t>
      </w:r>
    </w:p>
    <w:p>
      <w:pPr>
        <w:pStyle w:val="ListNumber"/>
      </w:pPr>
      <w:r>
        <w:t>Variante B: angemessener Wohnwert 1.250,00 EUR bis August 2026, ab September 2026 stufenweise Erhöhung.</w:t>
      </w:r>
    </w:p>
    <w:p>
      <w:pPr>
        <w:jc w:val="left"/>
      </w:pPr>
      <w:r>
        <w:t>Für das System ist wichtig, Wohnvorteil, Kindesunterhalt und Ehegattenunterhalt nicht doppelt zu verrechnen.</w:t>
      </w:r>
    </w:p>
    <w:p>
      <w:pPr>
        <w:pStyle w:val="Heading2"/>
      </w:pPr>
      <w:r>
        <w:t>Objektdaten und Zahlungsnachweise</w:t>
      </w:r>
    </w:p>
    <w:p>
      <w:r>
        <w:t>Das Reihenendhaus Innstraße 44 wurde 2018 für 548000 Euro erworben und steht im hälftigen Miteigentum. Die Wohnfläche beträgt 146 Quadratmeter; hinzu kommen Garage und ein nicht ausgebauter Kellerraum. Der Maklerwert von 1.850 Euro monatlich beruht auf einer E-Mail der Rosenheimer Wohnwert GmbH vom 19. April und ist noch kein förmliches Gutachten.</w:t>
      </w:r>
    </w:p>
    <w:p>
      <w:r>
        <w:t>Das Darlehen bei der Sparkasse Rosenheim-Bad Aibling valutierte zum 31. Januar 2026 mit 327840,62 Euro. Die Rate von 1480 Euro setzt sich laut Tilgungsplan derzeit aus etwa 780 Euro Zinsen und 700 Euro Tilgung zusammen. Seit Februar wird die Rate vom Hauskonto abgebucht, das überwiegend von Mira aufgefüllt wird. Tobias überwies im März einmalig 500 Euro mit dem Vermerk „Haus Kinder“.</w:t>
      </w:r>
    </w:p>
    <w:p>
      <w:r>
        <w:t>Grundsteuer, Gebäudeversicherung, Wasser, Abfall und Heizungswartung sind mit Einzelbelegen erfasst. Strom und verbrauchsabhängige Kosten werden nicht ohne Weiteres dem Wohnwert gegenübergestellt. Noch offen sind eine Nutzungsentschädigung, die künftige Darlehenstragung und die Frage, ob ein Verkauf überhaupt verlangt oder vorbereitet wird.</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06_wohnwert_und_hauslasten.docx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Ehewohnung Innstraße 44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