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Kindesunterhalt 2026: Datenblatt</w:t>
      </w:r>
    </w:p>
    <w:p>
      <w:pPr>
        <w:jc w:val="left"/>
      </w:pPr>
      <w:r>
        <w:t>Die Akte arbeitet mit der Düsseldorfer Tabelle Stand 01.01.2026. Kindergeld beträgt 259,00 EUR je Kind. Die konkreten Tabellenbeträge sollen vom System anhand aktueller Quelle überprüft werden; in der Excel-Datei sind Arbeitswerte eingetragen, nicht als amtliche Tabelle gemeint.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Kind</w:t>
            </w:r>
          </w:p>
        </w:tc>
        <w:tc>
          <w:tcPr>
            <w:tcW w:type="dxa" w:w="1814"/>
          </w:tcPr>
          <w:p>
            <w:r>
              <w:rPr>
                <w:rFonts w:ascii="Times New Roman" w:hAnsi="Times New Roman"/>
                <w:b/>
                <w:sz w:val="20"/>
              </w:rPr>
              <w:t>Altersstufe</w:t>
            </w:r>
          </w:p>
        </w:tc>
        <w:tc>
          <w:tcPr>
            <w:tcW w:type="dxa" w:w="1814"/>
          </w:tcPr>
          <w:p>
            <w:r>
              <w:rPr>
                <w:rFonts w:ascii="Times New Roman" w:hAnsi="Times New Roman"/>
                <w:b/>
                <w:sz w:val="20"/>
              </w:rPr>
              <w:t>Lebensmittelpunkt</w:t>
            </w:r>
          </w:p>
        </w:tc>
        <w:tc>
          <w:tcPr>
            <w:tcW w:type="dxa" w:w="1814"/>
          </w:tcPr>
          <w:p>
            <w:r>
              <w:rPr>
                <w:rFonts w:ascii="Times New Roman" w:hAnsi="Times New Roman"/>
                <w:b/>
                <w:sz w:val="20"/>
              </w:rPr>
              <w:t>Kindergeldbezug</w:t>
            </w:r>
          </w:p>
        </w:tc>
        <w:tc>
          <w:tcPr>
            <w:tcW w:type="dxa" w:w="1814"/>
          </w:tcPr>
          <w:p>
            <w:r>
              <w:rPr>
                <w:rFonts w:ascii="Times New Roman" w:hAnsi="Times New Roman"/>
                <w:b/>
                <w:sz w:val="20"/>
              </w:rPr>
              <w:t>Mehrbedarf</w:t>
            </w:r>
          </w:p>
        </w:tc>
      </w:tr>
      <w:tr>
        <w:tc>
          <w:tcPr>
            <w:tcW w:type="dxa" w:w="1814"/>
          </w:tcPr>
          <w:p>
            <w:r>
              <w:rPr>
                <w:rFonts w:ascii="Times New Roman" w:hAnsi="Times New Roman"/>
                <w:sz w:val="20"/>
              </w:rPr>
              <w:t>Klara</w:t>
            </w:r>
          </w:p>
        </w:tc>
        <w:tc>
          <w:tcPr>
            <w:tcW w:type="dxa" w:w="1814"/>
          </w:tcPr>
          <w:p>
            <w:r>
              <w:rPr>
                <w:rFonts w:ascii="Times New Roman" w:hAnsi="Times New Roman"/>
                <w:sz w:val="20"/>
              </w:rPr>
              <w:t>12-17</w:t>
            </w:r>
          </w:p>
        </w:tc>
        <w:tc>
          <w:tcPr>
            <w:tcW w:type="dxa" w:w="1814"/>
          </w:tcPr>
          <w:p>
            <w:r>
              <w:rPr>
                <w:rFonts w:ascii="Times New Roman" w:hAnsi="Times New Roman"/>
                <w:sz w:val="20"/>
              </w:rPr>
              <w:t>Mira</w:t>
            </w:r>
          </w:p>
        </w:tc>
        <w:tc>
          <w:tcPr>
            <w:tcW w:type="dxa" w:w="1814"/>
          </w:tcPr>
          <w:p>
            <w:r>
              <w:rPr>
                <w:rFonts w:ascii="Times New Roman" w:hAnsi="Times New Roman"/>
                <w:sz w:val="20"/>
              </w:rPr>
              <w:t>Mira</w:t>
            </w:r>
          </w:p>
        </w:tc>
        <w:tc>
          <w:tcPr>
            <w:tcW w:type="dxa" w:w="1814"/>
          </w:tcPr>
          <w:p>
            <w:r>
              <w:rPr>
                <w:rFonts w:ascii="Times New Roman" w:hAnsi="Times New Roman"/>
                <w:sz w:val="20"/>
              </w:rPr>
              <w:t>86,00 EUR Musikschule</w:t>
            </w:r>
          </w:p>
        </w:tc>
      </w:tr>
      <w:tr>
        <w:tc>
          <w:tcPr>
            <w:tcW w:type="dxa" w:w="1814"/>
          </w:tcPr>
          <w:p>
            <w:r>
              <w:rPr>
                <w:rFonts w:ascii="Times New Roman" w:hAnsi="Times New Roman"/>
                <w:sz w:val="20"/>
              </w:rPr>
              <w:t>Emil</w:t>
            </w:r>
          </w:p>
        </w:tc>
        <w:tc>
          <w:tcPr>
            <w:tcW w:type="dxa" w:w="1814"/>
          </w:tcPr>
          <w:p>
            <w:r>
              <w:rPr>
                <w:rFonts w:ascii="Times New Roman" w:hAnsi="Times New Roman"/>
                <w:sz w:val="20"/>
              </w:rPr>
              <w:t>12-17</w:t>
            </w:r>
          </w:p>
        </w:tc>
        <w:tc>
          <w:tcPr>
            <w:tcW w:type="dxa" w:w="1814"/>
          </w:tcPr>
          <w:p>
            <w:r>
              <w:rPr>
                <w:rFonts w:ascii="Times New Roman" w:hAnsi="Times New Roman"/>
                <w:sz w:val="20"/>
              </w:rPr>
              <w:t>Mira</w:t>
            </w:r>
          </w:p>
        </w:tc>
        <w:tc>
          <w:tcPr>
            <w:tcW w:type="dxa" w:w="1814"/>
          </w:tcPr>
          <w:p>
            <w:r>
              <w:rPr>
                <w:rFonts w:ascii="Times New Roman" w:hAnsi="Times New Roman"/>
                <w:sz w:val="20"/>
              </w:rPr>
              <w:t>Mira</w:t>
            </w:r>
          </w:p>
        </w:tc>
        <w:tc>
          <w:tcPr>
            <w:tcW w:type="dxa" w:w="1814"/>
          </w:tcPr>
          <w:p>
            <w:r>
              <w:rPr>
                <w:rFonts w:ascii="Times New Roman" w:hAnsi="Times New Roman"/>
                <w:sz w:val="20"/>
              </w:rPr>
              <w:t>210,00 EUR Lerntherapie</w:t>
            </w:r>
          </w:p>
        </w:tc>
      </w:tr>
      <w:tr>
        <w:tc>
          <w:tcPr>
            <w:tcW w:type="dxa" w:w="1814"/>
          </w:tcPr>
          <w:p>
            <w:r>
              <w:rPr>
                <w:rFonts w:ascii="Times New Roman" w:hAnsi="Times New Roman"/>
                <w:sz w:val="20"/>
              </w:rPr>
              <w:t>Nino</w:t>
            </w:r>
          </w:p>
        </w:tc>
        <w:tc>
          <w:tcPr>
            <w:tcW w:type="dxa" w:w="1814"/>
          </w:tcPr>
          <w:p>
            <w:r>
              <w:rPr>
                <w:rFonts w:ascii="Times New Roman" w:hAnsi="Times New Roman"/>
                <w:sz w:val="20"/>
              </w:rPr>
              <w:t>0-5 bis August, 6-11 ab September</w:t>
            </w:r>
          </w:p>
        </w:tc>
        <w:tc>
          <w:tcPr>
            <w:tcW w:type="dxa" w:w="1814"/>
          </w:tcPr>
          <w:p>
            <w:r>
              <w:rPr>
                <w:rFonts w:ascii="Times New Roman" w:hAnsi="Times New Roman"/>
                <w:sz w:val="20"/>
              </w:rPr>
              <w:t>Mira</w:t>
            </w:r>
          </w:p>
        </w:tc>
        <w:tc>
          <w:tcPr>
            <w:tcW w:type="dxa" w:w="1814"/>
          </w:tcPr>
          <w:p>
            <w:r>
              <w:rPr>
                <w:rFonts w:ascii="Times New Roman" w:hAnsi="Times New Roman"/>
                <w:sz w:val="20"/>
              </w:rPr>
              <w:t>Mira</w:t>
            </w:r>
          </w:p>
        </w:tc>
        <w:tc>
          <w:tcPr>
            <w:tcW w:type="dxa" w:w="1814"/>
          </w:tcPr>
          <w:p>
            <w:r>
              <w:rPr>
                <w:rFonts w:ascii="Times New Roman" w:hAnsi="Times New Roman"/>
                <w:sz w:val="20"/>
              </w:rPr>
              <w:t>145,00 EUR Hort ab September</w:t>
            </w:r>
          </w:p>
        </w:tc>
      </w:tr>
    </w:tbl>
    <w:p>
      <w:pPr>
        <w:jc w:val="left"/>
      </w:pPr>
      <w:r>
        <w:t>Die Betreuung Tobias' bleibt deutlich unter Wechselmodell. Ein erweitertes Umgangsmodell kann Auswirkungen auf Mehrbedarf und einzelne Fahrtkosten haben, aber nicht automatisch auf die Barunterhaltspflicht.</w:t>
      </w:r>
    </w:p>
    <w:p>
      <w:pPr>
        <w:pStyle w:val="Heading2"/>
      </w:pPr>
      <w:r>
        <w:t>Personen- und Eingabedaten</w:t>
      </w:r>
    </w:p>
    <w:p>
      <w:r>
        <w:t>Klara ist vierzehn Jahre alt, Emil zwölf Jahre und Nino fünf Jahre. Alle drei leben im Haushalt von Mira; Kindergeld wird auf ihr Konto gezahlt. Tobias leistet seit März monatlich 1780 Euro mit dem Verwendungszweck „Kinder und Haus“, ohne aufzuschlüsseln, welcher Anteil Kindesunterhalt, Hauslast oder freiwillige Zahlung sein soll.</w:t>
      </w:r>
    </w:p>
    <w:p>
      <w:r>
        <w:t>Als Eingaben liegen Tobias' laufendes Einkommen, Bonuszahlungen, Dienstwagen und Vorsorgeaufwendungen sowie Miras Teilzeiteinkommen vor. Für den Zahlbetrag müssen Altersstufe, Einkommensgruppe, Kindergeldanrechnung und ein möglicher Bedarfskontrollbetrag anhand der am Berechnungstag gültigen Tabelle geprüft werden. Die Akte speichert deshalb das Quelldatum jedes Tabellenwerts.</w:t>
      </w:r>
    </w:p>
    <w:p>
      <w:r>
        <w:t>Musikschule, Lerntherapie und Hort werden außerhalb des Tabellenbedarfs mit Rechnung, Fälligkeit und Zustimmung erfasst. Einmalige Kosten wie Klassenfahrt und Brille stehen in einer eigenen Liste. Umgangskosten werden nicht pauschal verrechnet, sondern nur mit tatsächlich belegtem Aufwand und Betreuungsausmaß betrachtet.</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07_kindesunterhalt_2026_datenblatt.docx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Kindesunterhalt 2026 · FA-2026/317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