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Trennungsunterhalt: Rechenvarianten</w:t>
      </w:r>
    </w:p>
    <w:p>
      <w:pPr>
        <w:jc w:val="left"/>
      </w:pPr>
      <w:r>
        <w:t>Variante 1 rechnet mit Tobias' durchschnittlichem Jahresnetto einschließlich Bonus und Miras aktuellem Einkommen. Variante 2 rechnet ab September 2026 mit Miras 30-Stunden-Netto. Variante 3 setzt beim Wohnwert nur einen angemessenen Wohnwert an. Variante 4 setzt den objektiven Wohnwert vollständig an.</w:t>
      </w:r>
    </w:p>
    <w:p>
      <w:pPr>
        <w:jc w:val="left"/>
      </w:pPr>
      <w:r>
        <w:t>Der Erwerbstätigenbonus, Kindesunterhalt als Vorwegabzug, berücksichtigungsfähige Altersvorsorge, Wohnwert und Schulden sind sichtbar getrennt. Der Output soll nicht nur eine Zahl liefern, sondern zeigen, welche Parameter den Zahlbetrag bewegen und welche Variante verhandlungsfähig ist.</w:t>
      </w:r>
    </w:p>
    <w:p>
      <w:pPr>
        <w:pStyle w:val="Heading2"/>
      </w:pPr>
      <w:r>
        <w:t>Eingaben und Abgrenzung der Varianten</w:t>
      </w:r>
    </w:p>
    <w:p>
      <w:r>
        <w:t>Die aktuelle Variante verwendet Tobias' laufendes Nettoeinkommen einschließlich eines gesondert ausgewiesenen Bonusanteils, Miras tatsächliches Teilzeiteinkommen, den vorweg berücksichtigten Kindesunterhalt und die belegten Vorsorgepositionen. Ab September wird Miras Einkommen nur in einer eigenen Zukunftsvariante mit 2610 Euro angesetzt; die Vertragsänderung ist noch nicht unterzeichnet.</w:t>
      </w:r>
    </w:p>
    <w:p>
      <w:r>
        <w:t>Für den Wohnwert werden zwei Rechenblätter geführt. Blatt A arbeitet vorläufig mit einem angemessenen Wert von 1250 Euro, Blatt B mit dem von der Gegenseite behaupteten objektiven Wert von 1850 Euro. Zinsen, Tilgung und laufende Hauskosten bleiben als einzelne Positionen sichtbar. Keine Variante darf einen Hausaufwand sowohl beim Wohnwert als auch nochmals als allgemeine Schuld abziehen.</w:t>
      </w:r>
    </w:p>
    <w:p>
      <w:r>
        <w:t>Jede Ausgabefassung nennt Berechnungsstichtag, Quelle, Rundung und offene Belege. Die Varianten dienen der Verhandlung und dürfen nicht als bereits feststehende gerichtliche Festsetzung bezeichnet werden.</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Aktenstück 08_trennungsunterhalt_rechenvarianten.docx · Arbeitsstand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35E67"/>
        <w:sz w:val="16"/>
      </w:rPr>
      <w:t>Trennungsunterhalt · Variantenstand 24. Mai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436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436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436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Kanzleiakte</dc:creator>
  <cp:keywords/>
  <dc:description>generated by python-docx</dc:description>
  <cp:lastModifiedBy>Kanzleiakte</cp:lastModifiedBy>
  <cp:revision>1</cp:revision>
  <dcterms:created xsi:type="dcterms:W3CDTF">2013-12-23T23:15:00Z</dcterms:created>
  <dcterms:modified xsi:type="dcterms:W3CDTF">2013-12-23T23:15:00Z</dcterms:modified>
  <cp:category/>
</cp:coreProperties>
</file>