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Nachehelicher Unterhalt: Varianten</w:t>
      </w:r>
    </w:p>
    <w:p>
      <w:pPr>
        <w:jc w:val="left"/>
      </w:pPr>
      <w:r>
        <w:t>Für die Zeit nach Scheidung stehen drei Linien im Raum:</w:t>
      </w:r>
    </w:p>
    <w:p>
      <w:pPr>
        <w:pStyle w:val="ListNumber"/>
      </w:pPr>
      <w:r>
        <w:t>Betreuungsunterhalt wegen Nino und Emils Förderbedarf. Mira argumentiert, eine sofortige Vollzeittätigkeit sei bis mindestens Sommer 2028 unzumutbar.</w:t>
      </w:r>
    </w:p>
    <w:p>
      <w:pPr>
        <w:pStyle w:val="ListNumber"/>
      </w:pPr>
      <w:r>
        <w:t>Aufstockungsunterhalt wegen ehebedingter Teilzeit und Einkommensdifferenz. Tobias argumentiert, Mira habe ihren Beruf nie aufgegeben und könne aufstocken.</w:t>
      </w:r>
    </w:p>
    <w:p>
      <w:pPr>
        <w:pStyle w:val="ListNumber"/>
      </w:pPr>
      <w:r>
        <w:t>Befristung und Herabsetzung. Tobias will eine klare Befristung nach zwei Jahren; Mira verlangt eine Anpassungsklausel nach tatsächlicher Erwerbsausweitung und Betreuungslage.</w:t>
      </w:r>
    </w:p>
    <w:p>
      <w:pPr>
        <w:jc w:val="left"/>
      </w:pPr>
      <w:r>
        <w:t>Die Akte enthält genug Zahlen, um Korridore zu bilden, aber keine endgültige gerichtliche Bewertung.</w:t>
      </w:r>
    </w:p>
    <w:p>
      <w:pPr>
        <w:pStyle w:val="Heading2"/>
      </w:pPr>
      <w:r>
        <w:t>Erwerbsbiografie und Betreuungsentwicklung</w:t>
      </w:r>
    </w:p>
    <w:p>
      <w:r>
        <w:t>Mira arbeitete vor der Geburt von Klara 38 Wochenstunden und reduzierte zunächst auf 25, später auf 24 Stunden. Während Tobias' Projektaufenthalten in Schweden 2018 und 2019 übernahm sie die Betreuung allein. Seit 2023 bewirbt sie sich intern um zusätzliche Stunden; die Praxis konnte bislang nur das Angebot ab September 2026 machen.</w:t>
      </w:r>
    </w:p>
    <w:p>
      <w:r>
        <w:t>Ninos Einschulung und Emils Lerntherapie sind konkrete Organisationsfaktoren, aber kein unveränderlicher Dauerzustand. Für eine spätere Anpassung werden Hortzeiten, tatsächliche Betreuungsübernahmen von Tobias, freie Stellen in der Praxis und Miras Bewerbungsbemühungen fortlaufend dokumentiert. Eine Befristung soll nicht nur nach Kalender, sondern nach diesen überprüfbaren Umständen diskutiert werden.</w:t>
      </w:r>
    </w:p>
    <w:p>
      <w:r>
        <w:t>Die Akte trennt Betreuungsunterhalt, möglichen Aufstockungsbedarf und behauptete ehebedingte Nachteile. Sie enthält noch keine verbindliche Dauer oder Endhöhe. Steuerklassenwechsel, Scheidungszeitpunkt und Entwicklung des Wohnwerts sind als eigene spätere Ereignisse vorgemerkt.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09_nachehelicher_unterhalt_varianten.docx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Nachehelicher Unterhalt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