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Vergleichsangebot Entwurf</w:t>
      </w:r>
    </w:p>
    <w:p>
      <w:pPr>
        <w:jc w:val="left"/>
      </w:pPr>
      <w:r>
        <w:t>Tobias zahlt ab 01.07.2026 Kindesunterhalt nach der jeweils einschlägigen Einkommensgruppe der Düsseldorfer Tabelle, dynamisiert in Höhe von 120 % des Mindestunterhalts, abzüglich hälftigen Kindergelds. Mehrbedarf für Lerntherapie, Musikschule und Hort wird nach Einkommensquote getragen.</w:t>
      </w:r>
    </w:p>
    <w:p>
      <w:pPr>
        <w:jc w:val="left"/>
      </w:pPr>
      <w:r>
        <w:t>Tobias zahlt Trennungsunterhalt an Mira in monatlicher Höhe von 1.180,00 EUR bis einschließlich August 2026 und ab September 2026 in Höhe von 920,00 EUR, jeweils unter Vorbehalt der Neuberechnung nach Steuerklassenwechsel, Bonuszahlung 2026 und Wohnwertklärung.</w:t>
      </w:r>
    </w:p>
    <w:p>
      <w:pPr>
        <w:jc w:val="left"/>
      </w:pPr>
      <w:r>
        <w:t>Für nachehelichen Unterhalt vereinbaren die Beteiligten zunächst eine Evaluationsklausel sechs Monate nach Rechtskraft der Scheidung. Eine Befristung bleibt vorbehalten.</w:t>
      </w:r>
    </w:p>
    <w:p>
      <w:pPr>
        <w:pStyle w:val="Heading2"/>
      </w:pPr>
      <w:r>
        <w:t>Abwicklung, Nachweise und Anpassung</w:t>
      </w:r>
    </w:p>
    <w:p>
      <w:r>
        <w:t>Zahlungen sollen jeweils bis zum dritten Werktag auf das von Mira bezeichnete Konto erfolgen und im Verwendungszweck nach Kindesunterhalt, Trennungsunterhalt und Mehrbedarf getrennt werden. Bereits geleistete, nicht zuordenbare Zahlungen werden für Februar bis Juni in einer Anlage gegenübergestellt; ihre Verrechnung bleibt bis zur gemeinsamen Abstimmung offen.</w:t>
      </w:r>
    </w:p>
    <w:p>
      <w:r>
        <w:t>Beide Seiten sollen Bonusabrechnungen, Änderungen der Wochenarbeitszeit, Hortkosten und wesentliche Änderungen der Betreuung binnen vierzehn Tagen belegen. Die Neuberechnung erfolgt nicht rückwirkend allein aufgrund einer Schätzung. Für Musikschule, Lerntherapie und Hort werden Rechnungen und Zahlungsnachweise quartalsweise ausgetauscht.</w:t>
      </w:r>
    </w:p>
    <w:p>
      <w:r>
        <w:t>Der Entwurf enthält noch keine Einigung über Wohnwert, Motorradkredit oder Befristung. Diese Punkte sind im Anschreiben ausdrücklich als offen zu kennzeichnen. Eine notarielle oder gerichtliche Form wird erst nach vollständiger Abstimmung der vollstreckbaren Zahlungsverpflichtungen gewählt.</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10_vergleichsangebot_entwurf.docx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Vergleichsentwurf · nicht versandt · FA-2026/317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