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Rechenhinweise der Kanzlei</w:t>
      </w:r>
    </w:p>
    <w:p>
      <w:pPr>
        <w:jc w:val="left"/>
      </w:pPr>
      <w:r>
        <w:t>Diese Akte soll nicht automatisch nur eine einzige Zahl auswerfen. Gewünscht ist ein Berechnungsblatt mit mindestens vier Varianten: aktuell, ab September mit höherem Einkommen Mira, objektiver Wohnwert, angemessener Wohnwert. Kindesunterhalt ist vor dem Ehegattenunterhalt zu berücksichtigen. Mehrbedarf der Kinder ist gesondert zu quoteln.</w:t>
      </w:r>
    </w:p>
    <w:p>
      <w:pPr>
        <w:jc w:val="left"/>
      </w:pPr>
      <w:r>
        <w:t>Bitte im Ergebnis immer ausweisen: zugrunde gelegtes Einkommen, Bereinigungen, Quote, Kindergeld, Zahlbetrag, offene Streitpunkte und Anpassungsmechanismus. Wenn ein Tabellenwert nicht live verifiziert ist, muss der Output das klar markieren.</w:t>
      </w:r>
    </w:p>
    <w:p>
      <w:pPr>
        <w:pStyle w:val="Heading2"/>
      </w:pPr>
      <w:r>
        <w:t>Kontrollspur vor Freigabe</w:t>
      </w:r>
    </w:p>
    <w:p>
      <w:r>
        <w:t>Vor jeder Freigabe sind die Lohnabrechnungen mit den Arbeitgeberbescheinigungen und den Kontoeingängen abzugleichen. Bonus, Dienstwagen, Fahrtkostenerstattung und Vorsorge erhalten jeweils eine eigene Belegnummer. Werte aus einer Probeberechnung für September dürfen nicht mit tatsächlich zugeflossenem Einkommen vermischt werden.</w:t>
      </w:r>
    </w:p>
    <w:p>
      <w:r>
        <w:t>Bei den Hauslasten sind Darlehenssaldo, Zinsanteil, Tilgung, verbrauchsabhängige Kosten und behaupteter Mietwert getrennt auszuweisen. Kindesunterhalt wird kindbezogen berechnet; Mehrbedarf erscheint nicht im Tabellenzahlbetrag. Die Ausgabefassung muss erkennen lassen, welche Position zwischen den Beteiligten unstreitig und welche nur als Variante angesetzt ist.</w:t>
      </w:r>
    </w:p>
    <w:p>
      <w:r>
        <w:t>Die Schlusskontrolle umfasst Rechenzeichen, Monatsbezug, Kindergeld, Rundung, Zahlungsbeginn und bereits geleistete Beträge. Jede Tabelle erhält einen Stand und die Quelle der verwendeten Leitlinie. Ein fehlender Beleg wird als offene Position bezeichnet, nicht durch einen scheinbar exakten Wert ersetzt.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11_rechenhinweise_kanzlei.docx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Interne Rechenkontrolle · FA-2026/317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