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Mandantenbrief - Erläuterung der Unterhaltsvarianten</w:t>
      </w:r>
    </w:p>
    <w:p>
      <w:pPr>
        <w:pStyle w:val="Heading2"/>
      </w:pPr>
      <w:r>
        <w:t>Ausgangspunkt</w:t>
      </w:r>
    </w:p>
    <w:p>
      <w:r>
        <w:t>Wir rechnen zunächst mit den belegten Nettoeinkommen, bereinigen berufsbedingte Aufwendungen und berücksichtigen den Kindesunterhalt vor dem Ehegattenunterhalt.</w:t>
      </w:r>
    </w:p>
    <w:p>
      <w:pPr>
        <w:pStyle w:val="Heading2"/>
      </w:pPr>
      <w:r>
        <w:t>Warum mehrere Varianten?</w:t>
      </w:r>
    </w:p>
    <w:p>
      <w:r>
        <w:t>Der Wohnwert und Ihre mögliche Stundenaufstockung verändern den Zahlbetrag deutlich. Deshalb ist eine einzige Zahl für die Verhandlung weniger hilfreich als ein Korridor mit sauber benannten Annahmen.</w:t>
      </w:r>
    </w:p>
    <w:p>
      <w:pPr>
        <w:pStyle w:val="Heading2"/>
      </w:pPr>
      <w:r>
        <w:t>Nächster Schritt</w:t>
      </w:r>
    </w:p>
    <w:p>
      <w:r>
        <w:t>Wir schlagen vor, den Vergleich mit einer Anpassungsklausel zu versehen, damit Bonus, Steuerklasse und Betreuungsentwicklung nicht jedes Mal ein neues Verfahren auslösen.</w:t>
      </w:r>
    </w:p>
    <w:p>
      <w:pPr>
        <w:pStyle w:val="Heading2"/>
      </w:pPr>
      <w:r>
        <w:t>Leseschlüssel für die beigefügten Tabellen</w:t>
      </w:r>
    </w:p>
    <w:p>
      <w:r>
        <w:t>Die erste Spalte enthält ausschließlich belegte Ist-Werte bis Mai 2026. Die zweite Spalte zeigt die mögliche Arbeitszeiterhöhung ab September; sie ist noch keine tatsächliche Einkommensänderung. Die beiden Wohnwertspalten unterscheiden sich nur im angesetzten Nutzungswert, nicht bei den Darlehenszahlungen. So lässt sich erkennen, welche einzelne Annahme den ausgewiesenen Betrag verändert.</w:t>
      </w:r>
    </w:p>
    <w:p>
      <w:r>
        <w:t>Bitte prüfen Sie insbesondere, ob die Betreuungszeiten, Kinderkosten und Hauszahlungen vollständig sind. Markieren Sie Abweichungen direkt auf der Belegliste und nennen Sie das zugehörige Dokument. Erst nach Ihrer Rückmeldung wird eine Zahl an die Gegenseite übermittelt.</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mandantenbrief_berechnungserlaeuterung.docx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Mandanteninformation Mira Aiblinger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