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Unterhaltsvergleich Aiblinger - Entwurf</w:t>
      </w:r>
    </w:p>
    <w:p>
      <w:pPr>
        <w:pStyle w:val="Heading2"/>
      </w:pPr>
      <w:r>
        <w:t>Kindesunterhalt</w:t>
      </w:r>
    </w:p>
    <w:p>
      <w:r>
        <w:t>Der Kindesunterhalt wird dynamisiert nach der Düsseldorfer Tabelle 2026 gezahlt. Das Kindergeld wird nach den gesetzlichen Regeln angerechnet. Mehrbedarf wird nach Einkommensquote getragen.</w:t>
      </w:r>
    </w:p>
    <w:p>
      <w:pPr>
        <w:pStyle w:val="Heading2"/>
      </w:pPr>
      <w:r>
        <w:t>Trennungsunterhalt</w:t>
      </w:r>
    </w:p>
    <w:p>
      <w:r>
        <w:t>Tobias zahlt vorläufig Trennungsunterhalt in zwei Stufen: bis August 2026 nach aktuellem Einkommen Mira, ab September 2026 unter Berücksichtigung der geplanten Stundenaufstockung.</w:t>
      </w:r>
    </w:p>
    <w:p>
      <w:pPr>
        <w:pStyle w:val="Heading2"/>
      </w:pPr>
      <w:r>
        <w:t>Anpassung</w:t>
      </w:r>
    </w:p>
    <w:p>
      <w:r>
        <w:t>Bonuszahlungen, Steuerklassenwechsel, Wohnwert und wesentliche Änderungen der Betreuung werden jeweils zum Folgemonat nach Nachweis neu berechnet.</w:t>
      </w:r>
    </w:p>
    <w:p>
      <w:pPr>
        <w:pStyle w:val="Heading2"/>
      </w:pPr>
      <w:r>
        <w:t>Weitere Regelungspunkte</w:t>
      </w:r>
    </w:p>
    <w:p>
      <w:r>
        <w:t>Die Beteiligten wollen die laufenden Zahlungen jeweils zum dritten Werktag fällig stellen. Kindesunterhalt wird für jedes Kind gesondert bezeichnet. Mehrbedarf für Lerntherapie, Hort und Musikschule wird nach Vorlage der Rechnung und Zahlung innerhalb von zehn Werktagen ausgeglichen. Eine pauschale Verrechnung mit Hauskosten findet nicht statt.</w:t>
      </w:r>
    </w:p>
    <w:p>
      <w:r>
        <w:t>Bonuszahlungen, Wechsel der Arbeitszeit und Änderungen der Betreuung sind binnen vierzehn Tagen mitzuteilen. Für das gemeinsame Haus bleiben Darlehen, Nutzung und möglicher Verkauf einer gesonderten Vereinbarung vorbehalten. Der vorliegende Text ist noch nicht unterschrieben und enthält keine Vollstreckungsunterwerfung.</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vergleichsentwurf_unterhalt_aiblinger.docx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Entwurf Unterhaltsvereinbarung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