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Zahlungsfluss und Verzug</w:t>
      </w:r>
    </w:p>
    <w:p>
      <w:pPr>
        <w:jc w:val="left"/>
      </w:pPr>
      <w:r>
        <w:t>Lene forderte Joris am 12.02.2026 per E-Mail auf, Auskunft über sein Einkommen aus selbstständiger Tätigkeit, Geschäftsführergehalt, Privatentnahmen, Firmenwagen und Vermietungseinnahmen zu erteilen. Die E-Mail enthielt noch keine vollständig bezifferte Unterhaltsforderung, aber die Formulierung, dass Kindes- und Trennungsunterhalt "ab Februar 2026 in gesetzlicher Höhe" verlangt werde.</w:t>
      </w:r>
    </w:p>
    <w:p>
      <w:pPr>
        <w:jc w:val="left"/>
      </w:pPr>
      <w:r>
        <w:t>Am 02.03.2026 zahlte Joris 1.500,00 EUR und schrieb im Betreff "mehr geht nicht". Ab April überwies er nur noch 900,00 EUR. Er legte eine BWA Januar bis März 2026 vor, aber keine Jahresabschlüsse 2023 bis 2025, keine Steuerbescheide, keine Summen- und Saldenlisten, keinen Anstellungsvertrag und keine Darlehensverträge.</w:t>
      </w:r>
    </w:p>
    <w:p>
      <w:pPr>
        <w:jc w:val="left"/>
      </w:pPr>
      <w:r>
        <w:t>Für den Stufenantrag soll geprüft werden, ob ab Februar 2026 Verzug nach Paragraf 1613 BGB für Kindesunterhalt und über Paragraf 1361 Abs. 4 Satz 4 BGB i.V.m. Paragraf 1613 BGB für Trennungsunterhalt begründet ist. Für die einstweilige Anordnung kommt eine vorläufige Bezifferung auf Grundlage des sichtbaren Lebensstandards in Betracht; die Belege sind aber dünn.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